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A9055" w14:textId="563578FA" w:rsidR="00631DFB" w:rsidRPr="00631DFB" w:rsidRDefault="00424533" w:rsidP="00631DFB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31DFB" w:rsidRPr="00631DFB">
        <w:rPr>
          <w:rFonts w:ascii="Times New Roman" w:hAnsi="Times New Roman" w:cs="Times New Roman"/>
        </w:rPr>
        <w:t xml:space="preserve">Szczecin, </w:t>
      </w:r>
      <w:r w:rsidR="00CC7EA0">
        <w:rPr>
          <w:rFonts w:ascii="Times New Roman" w:hAnsi="Times New Roman" w:cs="Times New Roman"/>
        </w:rPr>
        <w:t>29.04.</w:t>
      </w:r>
      <w:r w:rsidR="00631DFB" w:rsidRPr="00631DFB">
        <w:rPr>
          <w:rFonts w:ascii="Times New Roman" w:hAnsi="Times New Roman" w:cs="Times New Roman"/>
        </w:rPr>
        <w:t>202</w:t>
      </w:r>
      <w:r w:rsidR="00CC7EA0">
        <w:rPr>
          <w:rFonts w:ascii="Times New Roman" w:hAnsi="Times New Roman" w:cs="Times New Roman"/>
        </w:rPr>
        <w:t>5</w:t>
      </w:r>
      <w:r w:rsidR="00631DFB" w:rsidRPr="00631DFB">
        <w:rPr>
          <w:rFonts w:ascii="Times New Roman" w:hAnsi="Times New Roman" w:cs="Times New Roman"/>
        </w:rPr>
        <w:t xml:space="preserve"> r.</w:t>
      </w:r>
    </w:p>
    <w:p w14:paraId="002338FC" w14:textId="0CA5E6FC" w:rsidR="00631DFB" w:rsidRPr="00631DFB" w:rsidRDefault="00CC7EA0" w:rsidP="00631DF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Postępowanie ID: 1099322</w:t>
      </w:r>
    </w:p>
    <w:p w14:paraId="4CD9B0DA" w14:textId="77777777" w:rsidR="00631DFB" w:rsidRPr="00631DFB" w:rsidRDefault="00631DFB" w:rsidP="00631DFB">
      <w:pPr>
        <w:jc w:val="both"/>
        <w:rPr>
          <w:rFonts w:ascii="Times New Roman" w:hAnsi="Times New Roman" w:cs="Times New Roman"/>
          <w:b/>
          <w:i/>
        </w:rPr>
      </w:pPr>
    </w:p>
    <w:p w14:paraId="56628332" w14:textId="6BC60BAD" w:rsidR="00631DFB" w:rsidRPr="00631DFB" w:rsidRDefault="00631DFB" w:rsidP="00631DFB">
      <w:pPr>
        <w:ind w:left="2832" w:firstLine="708"/>
        <w:jc w:val="both"/>
        <w:rPr>
          <w:rFonts w:ascii="Times New Roman" w:hAnsi="Times New Roman" w:cs="Times New Roman"/>
          <w:b/>
          <w:iCs/>
        </w:rPr>
      </w:pPr>
      <w:r w:rsidRPr="00631DFB">
        <w:rPr>
          <w:rFonts w:ascii="Times New Roman" w:hAnsi="Times New Roman" w:cs="Times New Roman"/>
          <w:b/>
          <w:iCs/>
        </w:rPr>
        <w:t xml:space="preserve">WYJAŚNIENIE NR </w:t>
      </w:r>
      <w:r>
        <w:rPr>
          <w:rFonts w:ascii="Times New Roman" w:hAnsi="Times New Roman" w:cs="Times New Roman"/>
          <w:b/>
          <w:iCs/>
        </w:rPr>
        <w:t>1</w:t>
      </w:r>
    </w:p>
    <w:p w14:paraId="1C4FF380" w14:textId="77777777" w:rsidR="00631DFB" w:rsidRPr="00631DFB" w:rsidRDefault="00631DFB" w:rsidP="00631DFB">
      <w:pPr>
        <w:jc w:val="both"/>
        <w:rPr>
          <w:rFonts w:ascii="Times New Roman" w:hAnsi="Times New Roman" w:cs="Times New Roman"/>
        </w:rPr>
      </w:pPr>
    </w:p>
    <w:p w14:paraId="69A55F71" w14:textId="520830DB" w:rsidR="00631DFB" w:rsidRPr="00631DFB" w:rsidRDefault="00631DFB" w:rsidP="00631DFB">
      <w:pPr>
        <w:jc w:val="both"/>
        <w:rPr>
          <w:rFonts w:ascii="Times New Roman" w:hAnsi="Times New Roman" w:cs="Times New Roman"/>
          <w:b/>
          <w:bCs/>
        </w:rPr>
      </w:pPr>
      <w:r w:rsidRPr="00631DFB">
        <w:rPr>
          <w:rFonts w:ascii="Times New Roman" w:hAnsi="Times New Roman" w:cs="Times New Roman"/>
          <w:b/>
        </w:rPr>
        <w:t xml:space="preserve">dotyczy: </w:t>
      </w:r>
      <w:bookmarkStart w:id="0" w:name="_Hlk57200230"/>
      <w:bookmarkStart w:id="1" w:name="_Hlk55471084"/>
      <w:r w:rsidR="00CC7EA0" w:rsidRPr="00CC7EA0">
        <w:rPr>
          <w:rFonts w:ascii="Times New Roman" w:hAnsi="Times New Roman" w:cs="Times New Roman"/>
          <w:b/>
        </w:rPr>
        <w:t>Postępowanie ID: 1099322 : Kompleksowa odnowa muzealnych eksponatów przyrodniczych pozyskanych przez Instytut Biologii Uniwersytetu Szczecińskiego</w:t>
      </w:r>
    </w:p>
    <w:bookmarkEnd w:id="0"/>
    <w:bookmarkEnd w:id="1"/>
    <w:p w14:paraId="262B7ACA" w14:textId="77777777" w:rsidR="00631DFB" w:rsidRPr="00631DFB" w:rsidRDefault="00631DFB" w:rsidP="00631DFB">
      <w:pPr>
        <w:jc w:val="both"/>
        <w:rPr>
          <w:rFonts w:ascii="Times New Roman" w:hAnsi="Times New Roman" w:cs="Times New Roman"/>
          <w:b/>
        </w:rPr>
      </w:pPr>
    </w:p>
    <w:p w14:paraId="447A5964" w14:textId="311B6150" w:rsidR="00631DFB" w:rsidRPr="00631DFB" w:rsidRDefault="00631DFB" w:rsidP="00CC7EA0">
      <w:pPr>
        <w:spacing w:after="0" w:line="480" w:lineRule="auto"/>
        <w:jc w:val="both"/>
        <w:rPr>
          <w:rFonts w:ascii="Times New Roman" w:hAnsi="Times New Roman" w:cs="Times New Roman"/>
          <w:b/>
          <w:bCs/>
        </w:rPr>
      </w:pPr>
      <w:r w:rsidRPr="00631DFB">
        <w:rPr>
          <w:rFonts w:ascii="Times New Roman" w:hAnsi="Times New Roman" w:cs="Times New Roman"/>
          <w:b/>
          <w:bCs/>
        </w:rPr>
        <w:t>Pytanie 1</w:t>
      </w:r>
      <w:r w:rsidR="00CC7EA0">
        <w:rPr>
          <w:rFonts w:ascii="Times New Roman" w:hAnsi="Times New Roman" w:cs="Times New Roman"/>
          <w:b/>
          <w:bCs/>
        </w:rPr>
        <w:t xml:space="preserve"> Czy można prosić o wymiary obiektów?</w:t>
      </w:r>
    </w:p>
    <w:p w14:paraId="4A58402C" w14:textId="412338CA" w:rsidR="00CC7EA0" w:rsidRDefault="00556C46" w:rsidP="00CC7EA0">
      <w:pPr>
        <w:spacing w:after="0" w:line="480" w:lineRule="auto"/>
        <w:ind w:right="43"/>
        <w:jc w:val="both"/>
        <w:rPr>
          <w:rFonts w:ascii="Times New Roman" w:hAnsi="Times New Roman" w:cs="Times New Roman"/>
        </w:rPr>
      </w:pPr>
      <w:r w:rsidRPr="00CC7EA0">
        <w:rPr>
          <w:rFonts w:ascii="Times New Roman" w:hAnsi="Times New Roman" w:cs="Times New Roman"/>
        </w:rPr>
        <w:t>Odpowiedź:</w:t>
      </w:r>
      <w:r w:rsidR="00CC7EA0" w:rsidRPr="00CC7EA0">
        <w:t xml:space="preserve"> </w:t>
      </w:r>
      <w:r w:rsidR="00CC7EA0" w:rsidRPr="00CC7EA0">
        <w:rPr>
          <w:rFonts w:ascii="Times New Roman" w:hAnsi="Times New Roman" w:cs="Times New Roman"/>
        </w:rPr>
        <w:t xml:space="preserve">Obiekty obejmują preparaty kostne należące do różnych gatunków – zarówno mniejszych (np. żółw), jak i większych (np. koń, hipopotam, wieloryb, dzik). Każdy z eksponatów został dokładnie sfotografowany, w miarę możliwości uwzględniając fotograficznie największe uszkodzenia w preparatach. W większości przypadków możliwe jest rozpoznanie gatunku na podstawie fotografii, a tym samym oszacowanie przybliżonych wymiarów – w oparciu o standardowe wielkości kości dorosłych osobników danego gatunku. Jeśli jednak któryś z preparatów budzi wątpliwości lub wymaga dokładniejszych danych, </w:t>
      </w:r>
      <w:r w:rsidR="00CC7EA0">
        <w:rPr>
          <w:rFonts w:ascii="Times New Roman" w:hAnsi="Times New Roman" w:cs="Times New Roman"/>
        </w:rPr>
        <w:t xml:space="preserve">możemy </w:t>
      </w:r>
      <w:r w:rsidR="00CC7EA0" w:rsidRPr="00CC7EA0">
        <w:rPr>
          <w:rFonts w:ascii="Times New Roman" w:hAnsi="Times New Roman" w:cs="Times New Roman"/>
        </w:rPr>
        <w:t>wykon</w:t>
      </w:r>
      <w:r w:rsidR="00CC7EA0">
        <w:rPr>
          <w:rFonts w:ascii="Times New Roman" w:hAnsi="Times New Roman" w:cs="Times New Roman"/>
        </w:rPr>
        <w:t>ać</w:t>
      </w:r>
      <w:r w:rsidR="00CC7EA0" w:rsidRPr="00CC7EA0">
        <w:rPr>
          <w:rFonts w:ascii="Times New Roman" w:hAnsi="Times New Roman" w:cs="Times New Roman"/>
        </w:rPr>
        <w:t xml:space="preserve"> dodatkow</w:t>
      </w:r>
      <w:r w:rsidR="00097EA7">
        <w:rPr>
          <w:rFonts w:ascii="Times New Roman" w:hAnsi="Times New Roman" w:cs="Times New Roman"/>
        </w:rPr>
        <w:t>e</w:t>
      </w:r>
      <w:r w:rsidR="00CC7EA0" w:rsidRPr="00CC7EA0">
        <w:rPr>
          <w:rFonts w:ascii="Times New Roman" w:hAnsi="Times New Roman" w:cs="Times New Roman"/>
        </w:rPr>
        <w:t xml:space="preserve"> pomiar</w:t>
      </w:r>
      <w:r w:rsidR="00097EA7">
        <w:rPr>
          <w:rFonts w:ascii="Times New Roman" w:hAnsi="Times New Roman" w:cs="Times New Roman"/>
        </w:rPr>
        <w:t>y</w:t>
      </w:r>
      <w:r w:rsidR="00CC7EA0" w:rsidRPr="00CC7EA0">
        <w:rPr>
          <w:rFonts w:ascii="Times New Roman" w:hAnsi="Times New Roman" w:cs="Times New Roman"/>
        </w:rPr>
        <w:t xml:space="preserve">. </w:t>
      </w:r>
      <w:r w:rsidR="00CC7EA0">
        <w:rPr>
          <w:rFonts w:ascii="Times New Roman" w:hAnsi="Times New Roman" w:cs="Times New Roman"/>
        </w:rPr>
        <w:t xml:space="preserve">Prosimy o </w:t>
      </w:r>
      <w:r w:rsidR="00CC7EA0" w:rsidRPr="00CC7EA0">
        <w:rPr>
          <w:rFonts w:ascii="Times New Roman" w:hAnsi="Times New Roman" w:cs="Times New Roman"/>
        </w:rPr>
        <w:t xml:space="preserve">wskazanie, których konkretnie obiektów to dotyczy poprzez podanie numerów stron z </w:t>
      </w:r>
      <w:r w:rsidR="00151D63">
        <w:rPr>
          <w:rFonts w:ascii="Times New Roman" w:hAnsi="Times New Roman" w:cs="Times New Roman"/>
        </w:rPr>
        <w:t>zamieszczonego</w:t>
      </w:r>
      <w:r w:rsidR="00CC7EA0" w:rsidRPr="00CC7EA0">
        <w:rPr>
          <w:rFonts w:ascii="Times New Roman" w:hAnsi="Times New Roman" w:cs="Times New Roman"/>
        </w:rPr>
        <w:t xml:space="preserve"> pliku </w:t>
      </w:r>
      <w:r w:rsidR="00151D63">
        <w:rPr>
          <w:rFonts w:ascii="Times New Roman" w:hAnsi="Times New Roman" w:cs="Times New Roman"/>
        </w:rPr>
        <w:t>pdf ZDJĘCIA EKSPONATY</w:t>
      </w:r>
      <w:r w:rsidR="00CC7EA0" w:rsidRPr="00CC7EA0">
        <w:rPr>
          <w:rFonts w:ascii="Times New Roman" w:hAnsi="Times New Roman" w:cs="Times New Roman"/>
        </w:rPr>
        <w:t xml:space="preserve">. </w:t>
      </w:r>
    </w:p>
    <w:p w14:paraId="01F134CF" w14:textId="77777777" w:rsidR="00151D63" w:rsidRPr="00151D63" w:rsidRDefault="00151D63" w:rsidP="00CC7EA0">
      <w:pPr>
        <w:spacing w:after="0" w:line="480" w:lineRule="auto"/>
        <w:ind w:right="43"/>
        <w:jc w:val="both"/>
        <w:rPr>
          <w:rFonts w:ascii="Times New Roman" w:hAnsi="Times New Roman" w:cs="Times New Roman"/>
        </w:rPr>
      </w:pPr>
    </w:p>
    <w:p w14:paraId="4D6710E8" w14:textId="18BD3B64" w:rsidR="00CC7EA0" w:rsidRPr="00CC7EA0" w:rsidRDefault="003252F0" w:rsidP="00CC7EA0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Pytanie nr 2</w:t>
      </w:r>
      <w:r w:rsidR="00CC7EA0">
        <w:rPr>
          <w:rFonts w:ascii="Times New Roman" w:hAnsi="Times New Roman" w:cs="Times New Roman"/>
          <w:b/>
          <w:bCs/>
        </w:rPr>
        <w:t xml:space="preserve"> </w:t>
      </w:r>
      <w:r w:rsidR="00CC7EA0" w:rsidRPr="00CC7EA0">
        <w:rPr>
          <w:rFonts w:ascii="Times New Roman" w:hAnsi="Times New Roman" w:cs="Times New Roman"/>
          <w:b/>
          <w:bCs/>
        </w:rPr>
        <w:t>Czy obiekty przechowywane są w pudłach/gablotach?</w:t>
      </w:r>
    </w:p>
    <w:p w14:paraId="5B801C57" w14:textId="75F683D9" w:rsidR="00CC7EA0" w:rsidRDefault="00EE6DA3" w:rsidP="00CC7EA0">
      <w:pPr>
        <w:spacing w:after="0" w:line="480" w:lineRule="auto"/>
        <w:jc w:val="both"/>
        <w:rPr>
          <w:rFonts w:ascii="Times New Roman" w:hAnsi="Times New Roman" w:cs="Times New Roman"/>
        </w:rPr>
      </w:pPr>
      <w:r w:rsidRPr="00CC7EA0">
        <w:rPr>
          <w:rFonts w:ascii="Times New Roman" w:hAnsi="Times New Roman" w:cs="Times New Roman"/>
        </w:rPr>
        <w:t xml:space="preserve">Odpowiedź: </w:t>
      </w:r>
      <w:r w:rsidR="00CC7EA0" w:rsidRPr="00CC7EA0">
        <w:rPr>
          <w:rFonts w:ascii="Times New Roman" w:hAnsi="Times New Roman" w:cs="Times New Roman"/>
        </w:rPr>
        <w:t>Aktualnie eksponaty nie są przechowywane w gablotach ani pudłach.</w:t>
      </w:r>
    </w:p>
    <w:p w14:paraId="15AAC1AE" w14:textId="77777777" w:rsidR="00CC7EA0" w:rsidRPr="00CC7EA0" w:rsidRDefault="00CC7EA0" w:rsidP="00CC7EA0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453C31F0" w14:textId="5AC27DDA" w:rsidR="00102821" w:rsidRPr="002B0382" w:rsidRDefault="00102821" w:rsidP="00CC7EA0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2B0382">
        <w:rPr>
          <w:rFonts w:ascii="Times New Roman" w:hAnsi="Times New Roman" w:cs="Times New Roman"/>
          <w:b/>
          <w:bCs/>
        </w:rPr>
        <w:t>Pytanie 3</w:t>
      </w:r>
      <w:r w:rsidR="00CC7EA0">
        <w:rPr>
          <w:rFonts w:ascii="Times New Roman" w:hAnsi="Times New Roman" w:cs="Times New Roman"/>
          <w:b/>
          <w:bCs/>
        </w:rPr>
        <w:t xml:space="preserve"> </w:t>
      </w:r>
      <w:r w:rsidR="00CC7EA0" w:rsidRPr="00CC7EA0">
        <w:rPr>
          <w:rFonts w:ascii="Times New Roman" w:hAnsi="Times New Roman" w:cs="Times New Roman"/>
          <w:b/>
          <w:bCs/>
        </w:rPr>
        <w:t>Czy docelowo obiekty po konserwacji trafią do nowych gablot? Czy konieczne będzie oddanie ich w profesjonalnych pudłach bezkwasowych?</w:t>
      </w:r>
    </w:p>
    <w:p w14:paraId="74CEB48D" w14:textId="09887583" w:rsidR="002B0382" w:rsidRPr="00CC7EA0" w:rsidRDefault="00556C46" w:rsidP="00CC7EA0">
      <w:pPr>
        <w:spacing w:after="4" w:line="480" w:lineRule="auto"/>
        <w:ind w:right="43"/>
        <w:jc w:val="both"/>
        <w:rPr>
          <w:rFonts w:ascii="Times New Roman" w:eastAsia="Times New Roman" w:hAnsi="Times New Roman" w:cs="Times New Roman"/>
          <w:color w:val="000000"/>
          <w:kern w:val="2"/>
          <w:lang w:eastAsia="pl-PL"/>
          <w14:ligatures w14:val="standardContextual"/>
        </w:rPr>
      </w:pPr>
      <w:r w:rsidRPr="00CC7EA0">
        <w:rPr>
          <w:rFonts w:ascii="Times New Roman" w:eastAsia="Times New Roman" w:hAnsi="Times New Roman" w:cs="Times New Roman"/>
          <w:color w:val="000000"/>
          <w:kern w:val="2"/>
          <w:lang w:eastAsia="pl-PL"/>
          <w14:ligatures w14:val="standardContextual"/>
        </w:rPr>
        <w:t>Odpowiedź:</w:t>
      </w:r>
      <w:r w:rsidR="00CC7EA0" w:rsidRPr="00CC7EA0">
        <w:t xml:space="preserve"> </w:t>
      </w:r>
      <w:r w:rsidR="00CC7EA0" w:rsidRPr="00CC7EA0">
        <w:rPr>
          <w:rFonts w:ascii="Times New Roman" w:eastAsia="Times New Roman" w:hAnsi="Times New Roman" w:cs="Times New Roman"/>
          <w:color w:val="000000"/>
          <w:kern w:val="2"/>
          <w:lang w:eastAsia="pl-PL"/>
          <w14:ligatures w14:val="standardContextual"/>
        </w:rPr>
        <w:t>Tak, docelowo będą w gablotach. Natomiast w kontekście sposobu przekazania ich - nie będzie konieczne przekazywanie preparatów w profesjonalnych pudłach bezkwasowych.</w:t>
      </w:r>
    </w:p>
    <w:p w14:paraId="2EF3DF79" w14:textId="77777777" w:rsidR="00556C46" w:rsidRDefault="00556C46" w:rsidP="002B0382">
      <w:pPr>
        <w:spacing w:after="4"/>
        <w:ind w:right="43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pl-PL"/>
          <w14:ligatures w14:val="standardContextual"/>
        </w:rPr>
      </w:pPr>
    </w:p>
    <w:p w14:paraId="3F95F7B4" w14:textId="774C9665" w:rsidR="00865F2D" w:rsidRDefault="00865F2D" w:rsidP="00631DFB">
      <w:pPr>
        <w:jc w:val="both"/>
        <w:rPr>
          <w:rFonts w:ascii="Times New Roman" w:hAnsi="Times New Roman" w:cs="Times New Roman"/>
          <w:b/>
          <w:bCs/>
        </w:rPr>
      </w:pPr>
    </w:p>
    <w:sectPr w:rsidR="00865F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A1BBA" w14:textId="77777777" w:rsidR="0092336F" w:rsidRDefault="0092336F" w:rsidP="00424533">
      <w:pPr>
        <w:spacing w:after="0" w:line="240" w:lineRule="auto"/>
      </w:pPr>
      <w:r>
        <w:separator/>
      </w:r>
    </w:p>
  </w:endnote>
  <w:endnote w:type="continuationSeparator" w:id="0">
    <w:p w14:paraId="7003FE17" w14:textId="77777777" w:rsidR="0092336F" w:rsidRDefault="0092336F" w:rsidP="00424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028690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A5E7799" w14:textId="10708923" w:rsidR="001610D6" w:rsidRDefault="001610D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9CF39D" w14:textId="77777777" w:rsidR="001610D6" w:rsidRDefault="001610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DBE07" w14:textId="77777777" w:rsidR="0092336F" w:rsidRDefault="0092336F" w:rsidP="00424533">
      <w:pPr>
        <w:spacing w:after="0" w:line="240" w:lineRule="auto"/>
      </w:pPr>
      <w:r>
        <w:separator/>
      </w:r>
    </w:p>
  </w:footnote>
  <w:footnote w:type="continuationSeparator" w:id="0">
    <w:p w14:paraId="0808C612" w14:textId="77777777" w:rsidR="0092336F" w:rsidRDefault="0092336F" w:rsidP="00424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706BC" w14:textId="5E678590" w:rsidR="00424533" w:rsidRDefault="00424533">
    <w:pPr>
      <w:pStyle w:val="Nagwek"/>
    </w:pPr>
    <w:r w:rsidRPr="00153DCA">
      <w:rPr>
        <w:b/>
        <w:noProof/>
        <w:sz w:val="20"/>
      </w:rPr>
      <w:drawing>
        <wp:inline distT="0" distB="0" distL="0" distR="0" wp14:anchorId="329A99CE" wp14:editId="39391857">
          <wp:extent cx="1621790" cy="524510"/>
          <wp:effectExtent l="0" t="0" r="0" b="889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040" style="width:6.75pt;height:7.5pt" coordsize="" o:spt="100" o:bullet="t" adj="0,,0" path="" stroked="f">
        <v:stroke joinstyle="miter"/>
        <v:imagedata r:id="rId1" o:title="image26"/>
        <v:formulas/>
        <v:path o:connecttype="segments"/>
      </v:shape>
    </w:pict>
  </w:numPicBullet>
  <w:abstractNum w:abstractNumId="0" w15:restartNumberingAfterBreak="0">
    <w:nsid w:val="02BB6FD8"/>
    <w:multiLevelType w:val="hybridMultilevel"/>
    <w:tmpl w:val="112868FA"/>
    <w:lvl w:ilvl="0" w:tplc="C076298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8A4B12">
      <w:start w:val="1"/>
      <w:numFmt w:val="bullet"/>
      <w:lvlText w:val="o"/>
      <w:lvlJc w:val="left"/>
      <w:pPr>
        <w:ind w:left="1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18E21A">
      <w:start w:val="1"/>
      <w:numFmt w:val="bullet"/>
      <w:lvlRestart w:val="0"/>
      <w:lvlText w:val="•"/>
      <w:lvlPicBulletId w:val="0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1C466C">
      <w:start w:val="1"/>
      <w:numFmt w:val="bullet"/>
      <w:lvlText w:val="•"/>
      <w:lvlJc w:val="left"/>
      <w:pPr>
        <w:ind w:left="3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ACADA0">
      <w:start w:val="1"/>
      <w:numFmt w:val="bullet"/>
      <w:lvlText w:val="o"/>
      <w:lvlJc w:val="left"/>
      <w:pPr>
        <w:ind w:left="4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205AFC">
      <w:start w:val="1"/>
      <w:numFmt w:val="bullet"/>
      <w:lvlText w:val="▪"/>
      <w:lvlJc w:val="left"/>
      <w:pPr>
        <w:ind w:left="5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E4902C">
      <w:start w:val="1"/>
      <w:numFmt w:val="bullet"/>
      <w:lvlText w:val="•"/>
      <w:lvlJc w:val="left"/>
      <w:pPr>
        <w:ind w:left="5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4CB030">
      <w:start w:val="1"/>
      <w:numFmt w:val="bullet"/>
      <w:lvlText w:val="o"/>
      <w:lvlJc w:val="left"/>
      <w:pPr>
        <w:ind w:left="6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42115E">
      <w:start w:val="1"/>
      <w:numFmt w:val="bullet"/>
      <w:lvlText w:val="▪"/>
      <w:lvlJc w:val="left"/>
      <w:pPr>
        <w:ind w:left="7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535094"/>
    <w:multiLevelType w:val="hybridMultilevel"/>
    <w:tmpl w:val="079EB730"/>
    <w:lvl w:ilvl="0" w:tplc="4FB8BECA">
      <w:start w:val="1"/>
      <w:numFmt w:val="bullet"/>
      <w:lvlText w:val="•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0BCA4BC">
      <w:start w:val="1"/>
      <w:numFmt w:val="bullet"/>
      <w:lvlText w:val="o"/>
      <w:lvlJc w:val="left"/>
      <w:pPr>
        <w:ind w:left="3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80AD4F8">
      <w:start w:val="1"/>
      <w:numFmt w:val="bullet"/>
      <w:lvlText w:val="▪"/>
      <w:lvlJc w:val="left"/>
      <w:pPr>
        <w:ind w:left="4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60C80E">
      <w:start w:val="1"/>
      <w:numFmt w:val="bullet"/>
      <w:lvlText w:val="•"/>
      <w:lvlJc w:val="left"/>
      <w:pPr>
        <w:ind w:left="4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06ECCA2">
      <w:start w:val="1"/>
      <w:numFmt w:val="bullet"/>
      <w:lvlText w:val="o"/>
      <w:lvlJc w:val="left"/>
      <w:pPr>
        <w:ind w:left="5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53602B0">
      <w:start w:val="1"/>
      <w:numFmt w:val="bullet"/>
      <w:lvlText w:val="▪"/>
      <w:lvlJc w:val="left"/>
      <w:pPr>
        <w:ind w:left="6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2DAA6B8">
      <w:start w:val="1"/>
      <w:numFmt w:val="bullet"/>
      <w:lvlText w:val="•"/>
      <w:lvlJc w:val="left"/>
      <w:pPr>
        <w:ind w:left="7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A24D4E">
      <w:start w:val="1"/>
      <w:numFmt w:val="bullet"/>
      <w:lvlText w:val="o"/>
      <w:lvlJc w:val="left"/>
      <w:pPr>
        <w:ind w:left="7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7AEBD12">
      <w:start w:val="1"/>
      <w:numFmt w:val="bullet"/>
      <w:lvlText w:val="▪"/>
      <w:lvlJc w:val="left"/>
      <w:pPr>
        <w:ind w:left="8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D1652F"/>
    <w:multiLevelType w:val="hybridMultilevel"/>
    <w:tmpl w:val="365E1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611"/>
    <w:multiLevelType w:val="hybridMultilevel"/>
    <w:tmpl w:val="69844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52A46"/>
    <w:multiLevelType w:val="hybridMultilevel"/>
    <w:tmpl w:val="FEF0CD82"/>
    <w:lvl w:ilvl="0" w:tplc="A7A617B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89462C2">
      <w:start w:val="1"/>
      <w:numFmt w:val="bullet"/>
      <w:lvlRestart w:val="0"/>
      <w:lvlText w:val="•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038A76A">
      <w:start w:val="1"/>
      <w:numFmt w:val="bullet"/>
      <w:lvlText w:val="▪"/>
      <w:lvlJc w:val="left"/>
      <w:pPr>
        <w:ind w:left="3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4E46CFA">
      <w:start w:val="1"/>
      <w:numFmt w:val="bullet"/>
      <w:lvlText w:val="•"/>
      <w:lvlJc w:val="left"/>
      <w:pPr>
        <w:ind w:left="4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7EEEF64">
      <w:start w:val="1"/>
      <w:numFmt w:val="bullet"/>
      <w:lvlText w:val="o"/>
      <w:lvlJc w:val="left"/>
      <w:pPr>
        <w:ind w:left="5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FA8169E">
      <w:start w:val="1"/>
      <w:numFmt w:val="bullet"/>
      <w:lvlText w:val="▪"/>
      <w:lvlJc w:val="left"/>
      <w:pPr>
        <w:ind w:left="5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3A05C0">
      <w:start w:val="1"/>
      <w:numFmt w:val="bullet"/>
      <w:lvlText w:val="•"/>
      <w:lvlJc w:val="left"/>
      <w:pPr>
        <w:ind w:left="6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544EA4A">
      <w:start w:val="1"/>
      <w:numFmt w:val="bullet"/>
      <w:lvlText w:val="o"/>
      <w:lvlJc w:val="left"/>
      <w:pPr>
        <w:ind w:left="7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D526FF6">
      <w:start w:val="1"/>
      <w:numFmt w:val="bullet"/>
      <w:lvlText w:val="▪"/>
      <w:lvlJc w:val="left"/>
      <w:pPr>
        <w:ind w:left="7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0D2D17"/>
    <w:multiLevelType w:val="hybridMultilevel"/>
    <w:tmpl w:val="46C42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302235">
    <w:abstractNumId w:val="0"/>
  </w:num>
  <w:num w:numId="2" w16cid:durableId="321396589">
    <w:abstractNumId w:val="1"/>
  </w:num>
  <w:num w:numId="3" w16cid:durableId="1129544958">
    <w:abstractNumId w:val="4"/>
  </w:num>
  <w:num w:numId="4" w16cid:durableId="1684091150">
    <w:abstractNumId w:val="2"/>
  </w:num>
  <w:num w:numId="5" w16cid:durableId="1406300565">
    <w:abstractNumId w:val="3"/>
  </w:num>
  <w:num w:numId="6" w16cid:durableId="7980331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87"/>
    <w:rsid w:val="00015DFA"/>
    <w:rsid w:val="0005259B"/>
    <w:rsid w:val="00080E43"/>
    <w:rsid w:val="00097EA7"/>
    <w:rsid w:val="00102821"/>
    <w:rsid w:val="00120DCA"/>
    <w:rsid w:val="00131077"/>
    <w:rsid w:val="00151D63"/>
    <w:rsid w:val="001525D4"/>
    <w:rsid w:val="001531A9"/>
    <w:rsid w:val="001610D6"/>
    <w:rsid w:val="001B1581"/>
    <w:rsid w:val="001B5514"/>
    <w:rsid w:val="001C329B"/>
    <w:rsid w:val="001D0CCE"/>
    <w:rsid w:val="00272BFA"/>
    <w:rsid w:val="002844B9"/>
    <w:rsid w:val="002B0382"/>
    <w:rsid w:val="002F0AAD"/>
    <w:rsid w:val="003252F0"/>
    <w:rsid w:val="0036707C"/>
    <w:rsid w:val="003C3EE9"/>
    <w:rsid w:val="003D6E81"/>
    <w:rsid w:val="00422E1A"/>
    <w:rsid w:val="00424533"/>
    <w:rsid w:val="00432643"/>
    <w:rsid w:val="00447284"/>
    <w:rsid w:val="00476AAA"/>
    <w:rsid w:val="004A1387"/>
    <w:rsid w:val="004A1731"/>
    <w:rsid w:val="004E6241"/>
    <w:rsid w:val="00556C46"/>
    <w:rsid w:val="00571AFF"/>
    <w:rsid w:val="00574286"/>
    <w:rsid w:val="005841D2"/>
    <w:rsid w:val="00610AC0"/>
    <w:rsid w:val="00631DFB"/>
    <w:rsid w:val="006400BF"/>
    <w:rsid w:val="00696316"/>
    <w:rsid w:val="006C6C8E"/>
    <w:rsid w:val="007D7BD0"/>
    <w:rsid w:val="00812979"/>
    <w:rsid w:val="008149CE"/>
    <w:rsid w:val="00817A0E"/>
    <w:rsid w:val="0083265D"/>
    <w:rsid w:val="0084749D"/>
    <w:rsid w:val="00865F2D"/>
    <w:rsid w:val="0092336F"/>
    <w:rsid w:val="009758D0"/>
    <w:rsid w:val="009778B0"/>
    <w:rsid w:val="009E152E"/>
    <w:rsid w:val="009F2107"/>
    <w:rsid w:val="00A24B57"/>
    <w:rsid w:val="00A673AF"/>
    <w:rsid w:val="00A85AA7"/>
    <w:rsid w:val="00C91BF7"/>
    <w:rsid w:val="00C92024"/>
    <w:rsid w:val="00CB72DF"/>
    <w:rsid w:val="00CC7EA0"/>
    <w:rsid w:val="00CF6957"/>
    <w:rsid w:val="00D365B0"/>
    <w:rsid w:val="00D93468"/>
    <w:rsid w:val="00DD5649"/>
    <w:rsid w:val="00EE6DA3"/>
    <w:rsid w:val="00EF4E8F"/>
    <w:rsid w:val="00F10392"/>
    <w:rsid w:val="00F63BCC"/>
    <w:rsid w:val="00F70C1D"/>
    <w:rsid w:val="00F76087"/>
    <w:rsid w:val="00FA2410"/>
    <w:rsid w:val="00FE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24385"/>
  <w15:chartTrackingRefBased/>
  <w15:docId w15:val="{1B995A27-4A05-4BA2-85DB-FB9D2E31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533"/>
  </w:style>
  <w:style w:type="paragraph" w:styleId="Stopka">
    <w:name w:val="footer"/>
    <w:basedOn w:val="Normalny"/>
    <w:link w:val="StopkaZnak"/>
    <w:uiPriority w:val="99"/>
    <w:unhideWhenUsed/>
    <w:rsid w:val="00424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533"/>
  </w:style>
  <w:style w:type="paragraph" w:styleId="Akapitzlist">
    <w:name w:val="List Paragraph"/>
    <w:basedOn w:val="Normalny"/>
    <w:uiPriority w:val="34"/>
    <w:qFormat/>
    <w:rsid w:val="00975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2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Łukawska-Przydrożny</dc:creator>
  <cp:keywords/>
  <dc:description/>
  <cp:lastModifiedBy>Aneta Szeremeta</cp:lastModifiedBy>
  <cp:revision>4</cp:revision>
  <cp:lastPrinted>2023-02-13T08:03:00Z</cp:lastPrinted>
  <dcterms:created xsi:type="dcterms:W3CDTF">2025-04-29T10:37:00Z</dcterms:created>
  <dcterms:modified xsi:type="dcterms:W3CDTF">2025-04-29T10:54:00Z</dcterms:modified>
</cp:coreProperties>
</file>