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57805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E57805" w:rsidRPr="00816D82" w14:paraId="7152CB0F" w14:textId="77777777" w:rsidTr="00A71377">
              <w:tc>
                <w:tcPr>
                  <w:tcW w:w="5000" w:type="pct"/>
                </w:tcPr>
                <w:p w14:paraId="2A21E4C9" w14:textId="77777777" w:rsidR="00E57805" w:rsidRPr="00816D82" w:rsidRDefault="00E57805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>„</w:t>
                  </w:r>
                  <w:r w:rsidRPr="00816D82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816D82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E57805" w:rsidRPr="00816D82" w14:paraId="3E9FE462" w14:textId="77777777" w:rsidTr="00A71377">
              <w:tc>
                <w:tcPr>
                  <w:tcW w:w="5000" w:type="pct"/>
                </w:tcPr>
                <w:p w14:paraId="1044E8B3" w14:textId="77777777" w:rsidR="00E57805" w:rsidRPr="00816D82" w:rsidRDefault="00E57805" w:rsidP="00E57805">
                  <w:pPr>
                    <w:tabs>
                      <w:tab w:val="left" w:pos="1335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E57805" w:rsidRPr="00816D82" w14:paraId="19EA0FD1" w14:textId="77777777" w:rsidTr="00A71377">
              <w:tc>
                <w:tcPr>
                  <w:tcW w:w="5000" w:type="pct"/>
                </w:tcPr>
                <w:p w14:paraId="64472F2F" w14:textId="2BAB7C02" w:rsidR="00E57805" w:rsidRPr="00A71377" w:rsidRDefault="00E57805" w:rsidP="00BC625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5B3562F3" w:rsidR="00E57805" w:rsidRPr="008C2E95" w:rsidRDefault="00E57805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71377" w:rsidRPr="008C2E95" w14:paraId="5A12592D" w14:textId="77777777" w:rsidTr="00E00489">
        <w:tc>
          <w:tcPr>
            <w:tcW w:w="5000" w:type="pct"/>
          </w:tcPr>
          <w:p w14:paraId="09F6BF37" w14:textId="72E0766C" w:rsidR="00A71377" w:rsidRPr="00A71377" w:rsidRDefault="00C40E42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45A6E">
              <w:rPr>
                <w:sz w:val="22"/>
                <w:szCs w:val="22"/>
              </w:rPr>
              <w:t>/-/</w:t>
            </w:r>
            <w:r>
              <w:rPr>
                <w:sz w:val="22"/>
                <w:szCs w:val="22"/>
              </w:rPr>
              <w:t>Płk</w:t>
            </w:r>
            <w:r w:rsidR="008A7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481A00" w:rsidRDefault="00481A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481A00" w:rsidRDefault="00481A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481A00" w:rsidRDefault="00481A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481A00" w:rsidRDefault="00481A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481A00" w:rsidRPr="00ED3CCC" w:rsidRDefault="00481A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481A00" w:rsidRPr="0085704D" w:rsidRDefault="00481A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481A00" w:rsidRDefault="00481A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481A00" w:rsidRDefault="00481A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481A00" w:rsidRDefault="00481A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481A00" w:rsidRDefault="00481A0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481A00" w:rsidRPr="00ED3CCC" w:rsidRDefault="00481A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481A00" w:rsidRPr="0085704D" w:rsidRDefault="00481A0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711C1DD" w:rsidR="00481A00" w:rsidRPr="00A36872" w:rsidRDefault="00481A00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80655256"/>
                            <w:bookmarkStart w:id="1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SPRZĘTU SŁUŻBY ŻYWNOŚCIOWEJ</w:t>
                            </w:r>
                            <w:r w:rsidRPr="008A4859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bookmarkEnd w:id="1"/>
                          <w:p w14:paraId="261C3B97" w14:textId="6F201A0D" w:rsidR="00481A00" w:rsidRPr="00E57805" w:rsidRDefault="00481A00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57805"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nr sprawy: 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mat/75/IP/2025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711C1DD" w:rsidR="00481A00" w:rsidRPr="00A36872" w:rsidRDefault="00481A00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80655256"/>
                      <w:bookmarkStart w:id="3" w:name="_Hlk113956040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2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SPRZĘTU SŁUŻBY ŻYWNOŚCIOWEJ</w:t>
                      </w:r>
                      <w:r w:rsidRPr="008A4859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bookmarkEnd w:id="3"/>
                    <w:p w14:paraId="261C3B97" w14:textId="6F201A0D" w:rsidR="00481A00" w:rsidRPr="00E57805" w:rsidRDefault="00481A00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E57805">
                        <w:rPr>
                          <w:smallCaps/>
                          <w:sz w:val="22"/>
                          <w:szCs w:val="22"/>
                        </w:rPr>
                        <w:t xml:space="preserve">nr sprawy: 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mat/75/IP/2025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 xml:space="preserve">Zamawiający prowadzi postępowanie przy użyciu środków komunikacji elektronicznej o których mowa w art.61 Ustawy </w:t>
      </w:r>
      <w:proofErr w:type="spellStart"/>
      <w:r w:rsidRPr="00387883">
        <w:rPr>
          <w:color w:val="000000"/>
          <w:sz w:val="18"/>
          <w:szCs w:val="18"/>
        </w:rPr>
        <w:t>Pzp</w:t>
      </w:r>
      <w:proofErr w:type="spellEnd"/>
      <w:r w:rsidRPr="00387883">
        <w:rPr>
          <w:color w:val="000000"/>
          <w:sz w:val="18"/>
          <w:szCs w:val="18"/>
        </w:rPr>
        <w:t xml:space="preserve"> z wykorzystaniem systemu:</w:t>
      </w:r>
    </w:p>
    <w:p w14:paraId="0BAA7CFF" w14:textId="4EDE6EBD" w:rsidR="00387883" w:rsidRDefault="00AB6914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6BF741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D07A33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 xml:space="preserve">ul. </w:t>
      </w:r>
      <w:proofErr w:type="spellStart"/>
      <w:r w:rsidRPr="00132D9A">
        <w:rPr>
          <w:sz w:val="22"/>
          <w:szCs w:val="22"/>
        </w:rPr>
        <w:t>Pretficza</w:t>
      </w:r>
      <w:proofErr w:type="spellEnd"/>
      <w:r w:rsidRPr="00132D9A">
        <w:rPr>
          <w:sz w:val="22"/>
          <w:szCs w:val="22"/>
        </w:rPr>
        <w:t xml:space="preserve">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6CE650E2" w:rsidR="004423A3" w:rsidRDefault="00AB6914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4423A3" w:rsidRPr="00CF348A">
          <w:rPr>
            <w:rStyle w:val="Hipercze"/>
            <w:sz w:val="22"/>
            <w:szCs w:val="22"/>
            <w:shd w:val="clear" w:color="auto" w:fill="FFFFFF"/>
          </w:rPr>
          <w:t>https://platformazakupowa.pl/transakcja/</w:t>
        </w:r>
        <w:r w:rsidR="005A5D6D" w:rsidRPr="005A5D6D">
          <w:rPr>
            <w:rStyle w:val="Hipercze"/>
            <w:sz w:val="22"/>
            <w:szCs w:val="22"/>
            <w:shd w:val="clear" w:color="auto" w:fill="FFFFFF"/>
          </w:rPr>
          <w:t>1088369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  <w:bookmarkStart w:id="2" w:name="_GoBack"/>
      <w:bookmarkEnd w:id="2"/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C228CD5" w:rsidR="00387883" w:rsidRPr="00387883" w:rsidRDefault="00E57805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</w:t>
      </w:r>
      <w:proofErr w:type="spellStart"/>
      <w:r w:rsidRPr="00266442">
        <w:rPr>
          <w:sz w:val="22"/>
          <w:szCs w:val="22"/>
        </w:rPr>
        <w:t>t.j</w:t>
      </w:r>
      <w:proofErr w:type="spellEnd"/>
      <w:r w:rsidRPr="00266442">
        <w:rPr>
          <w:sz w:val="22"/>
          <w:szCs w:val="22"/>
        </w:rPr>
        <w:t>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3302316A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E57805">
        <w:rPr>
          <w:b/>
          <w:sz w:val="22"/>
          <w:szCs w:val="22"/>
        </w:rPr>
        <w:t>:</w:t>
      </w:r>
      <w:r w:rsidR="00546153" w:rsidRPr="00E57805">
        <w:rPr>
          <w:b/>
          <w:sz w:val="22"/>
          <w:szCs w:val="22"/>
        </w:rPr>
        <w:t xml:space="preserve"> </w:t>
      </w:r>
      <w:r w:rsidR="00E57805">
        <w:rPr>
          <w:b/>
          <w:smallCaps/>
          <w:color w:val="000000"/>
          <w:sz w:val="22"/>
          <w:szCs w:val="22"/>
        </w:rPr>
        <w:t>DOSTAWA</w:t>
      </w:r>
      <w:r w:rsidR="00FB1CCB" w:rsidRPr="00E57805">
        <w:rPr>
          <w:b/>
          <w:smallCaps/>
          <w:color w:val="000000"/>
          <w:sz w:val="22"/>
          <w:szCs w:val="22"/>
        </w:rPr>
        <w:t xml:space="preserve"> </w:t>
      </w:r>
      <w:r w:rsidR="00B00A88" w:rsidRPr="00E57805">
        <w:rPr>
          <w:b/>
          <w:smallCaps/>
          <w:color w:val="000000"/>
          <w:sz w:val="22"/>
          <w:szCs w:val="22"/>
        </w:rPr>
        <w:t xml:space="preserve">– </w:t>
      </w:r>
      <w:r w:rsidR="00E57805">
        <w:rPr>
          <w:b/>
          <w:sz w:val="22"/>
          <w:szCs w:val="22"/>
        </w:rPr>
        <w:t>SPRZĘ</w:t>
      </w:r>
      <w:r w:rsidR="00E57805" w:rsidRPr="00E57805">
        <w:rPr>
          <w:b/>
          <w:sz w:val="22"/>
          <w:szCs w:val="22"/>
        </w:rPr>
        <w:t>TU</w:t>
      </w:r>
      <w:r w:rsidR="00E57805">
        <w:rPr>
          <w:sz w:val="22"/>
          <w:szCs w:val="22"/>
        </w:rPr>
        <w:t xml:space="preserve"> </w:t>
      </w:r>
      <w:r w:rsidR="00E57805" w:rsidRPr="00E57805">
        <w:rPr>
          <w:b/>
          <w:sz w:val="22"/>
          <w:szCs w:val="22"/>
        </w:rPr>
        <w:t>SŁUŻBY ŻYWNOŚCIOWEJ</w:t>
      </w:r>
      <w:r w:rsidR="00A36872" w:rsidRPr="00E57805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4E9A21A8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3E44B9">
        <w:rPr>
          <w:b/>
          <w:i/>
          <w:sz w:val="22"/>
          <w:szCs w:val="22"/>
        </w:rPr>
        <w:t>42215000-6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9A24DC5" w:rsidR="00FD79E1" w:rsidRPr="007C64AA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23234FB4" w14:textId="77777777" w:rsidR="00684D6E" w:rsidRPr="0014189D" w:rsidRDefault="00684D6E" w:rsidP="00684D6E">
      <w:pPr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3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3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1CB582DC" w14:textId="77777777" w:rsidR="00684D6E" w:rsidRPr="0014189D" w:rsidRDefault="00684D6E" w:rsidP="00684D6E">
      <w:pPr>
        <w:numPr>
          <w:ilvl w:val="0"/>
          <w:numId w:val="52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7A69FCEC" w14:textId="77777777" w:rsidR="00684D6E" w:rsidRPr="00F216A8" w:rsidRDefault="00684D6E" w:rsidP="00684D6E">
      <w:pPr>
        <w:numPr>
          <w:ilvl w:val="0"/>
          <w:numId w:val="52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4F18E31E" w14:textId="77777777" w:rsidR="00684D6E" w:rsidRPr="00F216A8" w:rsidRDefault="00684D6E" w:rsidP="00684D6E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4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 xml:space="preserve">będzie oznaczało, że Wykonawca złożył ofertę niewypełnioną podlegającą odrzuceniu ze względu na niezgodność z warunkami zamówienia (art. 226 ust. 1 pkt 5 Ustawy </w:t>
      </w:r>
      <w:proofErr w:type="spellStart"/>
      <w:r w:rsidRPr="00F216A8">
        <w:rPr>
          <w:sz w:val="22"/>
          <w:szCs w:val="22"/>
          <w:u w:val="single"/>
        </w:rPr>
        <w:t>Pzp</w:t>
      </w:r>
      <w:proofErr w:type="spellEnd"/>
      <w:r w:rsidRPr="00F216A8">
        <w:rPr>
          <w:sz w:val="22"/>
          <w:szCs w:val="22"/>
          <w:u w:val="single"/>
        </w:rPr>
        <w:t>).</w:t>
      </w:r>
    </w:p>
    <w:bookmarkEnd w:id="4"/>
    <w:p w14:paraId="08CDD9A2" w14:textId="77777777" w:rsidR="00684D6E" w:rsidRPr="00F216A8" w:rsidRDefault="00684D6E" w:rsidP="00684D6E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 xml:space="preserve">Podane w opisach nazwy własne, nazwy handlowe, znaki towarowe itp. nie mają na celu naruszenie art. 16, 17 i 99 Ustawy </w:t>
      </w:r>
      <w:proofErr w:type="spellStart"/>
      <w:r w:rsidRPr="00F216A8">
        <w:rPr>
          <w:color w:val="000000"/>
          <w:sz w:val="22"/>
          <w:szCs w:val="22"/>
        </w:rPr>
        <w:t>Pzp</w:t>
      </w:r>
      <w:proofErr w:type="spellEnd"/>
      <w:r w:rsidRPr="00F216A8">
        <w:rPr>
          <w:color w:val="000000"/>
          <w:sz w:val="22"/>
          <w:szCs w:val="22"/>
        </w:rPr>
        <w:t>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5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5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63D2A16E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0C293D">
        <w:rPr>
          <w:b/>
          <w:bCs/>
          <w:color w:val="000000"/>
          <w:sz w:val="22"/>
          <w:szCs w:val="22"/>
        </w:rPr>
        <w:t>5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777777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6D54FE65" w14:textId="03B37280" w:rsidR="003E44B9" w:rsidRDefault="00BB2D75" w:rsidP="003E44B9">
      <w:pPr>
        <w:pStyle w:val="Tekstpodstawowy"/>
        <w:spacing w:after="0" w:line="360" w:lineRule="auto"/>
        <w:ind w:left="2410" w:hanging="1417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>CZĘŚĆ</w:t>
      </w:r>
      <w:r w:rsidR="004A6842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mallCaps/>
          <w:sz w:val="22"/>
          <w:szCs w:val="22"/>
        </w:rPr>
        <w:t>I:</w:t>
      </w:r>
      <w:r w:rsidR="004A6842">
        <w:rPr>
          <w:b/>
          <w:bCs/>
          <w:smallCaps/>
          <w:sz w:val="22"/>
          <w:szCs w:val="22"/>
        </w:rPr>
        <w:t xml:space="preserve"> </w:t>
      </w:r>
      <w:r w:rsidR="004146DA">
        <w:rPr>
          <w:rFonts w:ascii="Arial" w:hAnsi="Arial" w:cs="Arial"/>
          <w:color w:val="000000" w:themeColor="text1"/>
          <w:sz w:val="20"/>
        </w:rPr>
        <w:t>Krajalnica żywności- elektryczna</w:t>
      </w:r>
    </w:p>
    <w:p w14:paraId="37B2BA04" w14:textId="094B73AE" w:rsidR="00F1189D" w:rsidRDefault="00BB2D75" w:rsidP="003E44B9">
      <w:pPr>
        <w:pStyle w:val="Tekstpodstawowy"/>
        <w:spacing w:after="0" w:line="360" w:lineRule="auto"/>
        <w:ind w:left="2410" w:hanging="1417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t xml:space="preserve">CZĘŚĆ II: </w:t>
      </w:r>
      <w:r w:rsidR="004146DA">
        <w:rPr>
          <w:rFonts w:ascii="Arial" w:hAnsi="Arial" w:cs="Arial"/>
          <w:color w:val="000000" w:themeColor="text1"/>
          <w:sz w:val="20"/>
        </w:rPr>
        <w:t>Miesza</w:t>
      </w:r>
      <w:r w:rsidR="005D04E7">
        <w:rPr>
          <w:rFonts w:ascii="Arial" w:hAnsi="Arial" w:cs="Arial"/>
          <w:color w:val="000000" w:themeColor="text1"/>
          <w:sz w:val="20"/>
        </w:rPr>
        <w:t>r</w:t>
      </w:r>
      <w:r w:rsidR="004146DA">
        <w:rPr>
          <w:rFonts w:ascii="Arial" w:hAnsi="Arial" w:cs="Arial"/>
          <w:color w:val="000000" w:themeColor="text1"/>
          <w:sz w:val="20"/>
        </w:rPr>
        <w:t>ka przechylna</w:t>
      </w:r>
    </w:p>
    <w:p w14:paraId="2F246B3B" w14:textId="737CB140" w:rsidR="00F1189D" w:rsidRDefault="00FC7EBE" w:rsidP="003E44B9">
      <w:pPr>
        <w:pStyle w:val="Tekstpodstawowy"/>
        <w:spacing w:after="0" w:line="360" w:lineRule="auto"/>
        <w:ind w:left="2410" w:hanging="1417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t xml:space="preserve">CZĘŚĆ III: </w:t>
      </w:r>
      <w:r w:rsidR="004146DA">
        <w:rPr>
          <w:rFonts w:ascii="Arial" w:hAnsi="Arial" w:cs="Arial"/>
          <w:color w:val="000000" w:themeColor="text1"/>
          <w:sz w:val="20"/>
        </w:rPr>
        <w:t xml:space="preserve">Maszyna do formowania </w:t>
      </w:r>
      <w:r w:rsidR="002D42B8">
        <w:rPr>
          <w:rFonts w:ascii="Arial" w:hAnsi="Arial" w:cs="Arial"/>
          <w:color w:val="000000" w:themeColor="text1"/>
          <w:sz w:val="20"/>
        </w:rPr>
        <w:t>kotletów i mielenia mięsa</w:t>
      </w:r>
    </w:p>
    <w:p w14:paraId="31D977ED" w14:textId="166B123C" w:rsidR="00BB2D75" w:rsidRDefault="00BB2D75" w:rsidP="003E44B9">
      <w:pPr>
        <w:pStyle w:val="Tekstpodstawowy"/>
        <w:spacing w:after="0" w:line="360" w:lineRule="auto"/>
        <w:ind w:left="2410" w:hanging="1417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lastRenderedPageBreak/>
        <w:t>CZĘŚ</w:t>
      </w:r>
      <w:r w:rsidR="004A6842">
        <w:rPr>
          <w:b/>
          <w:bCs/>
          <w:smallCaps/>
          <w:sz w:val="22"/>
          <w:szCs w:val="22"/>
        </w:rPr>
        <w:t xml:space="preserve">Ć </w:t>
      </w:r>
      <w:r w:rsidR="003E44B9">
        <w:rPr>
          <w:b/>
          <w:bCs/>
          <w:smallCaps/>
          <w:sz w:val="22"/>
          <w:szCs w:val="22"/>
        </w:rPr>
        <w:t>I</w:t>
      </w:r>
      <w:r w:rsidRPr="00BB2D75">
        <w:rPr>
          <w:b/>
          <w:bCs/>
          <w:smallCaps/>
          <w:sz w:val="22"/>
          <w:szCs w:val="22"/>
        </w:rPr>
        <w:t xml:space="preserve">V: </w:t>
      </w:r>
      <w:r w:rsidR="004146DA">
        <w:rPr>
          <w:rFonts w:ascii="Arial" w:hAnsi="Arial" w:cs="Arial"/>
          <w:color w:val="000000" w:themeColor="text1"/>
          <w:sz w:val="20"/>
        </w:rPr>
        <w:t>Wieloczynnościowa maszyna kuchenna</w:t>
      </w:r>
    </w:p>
    <w:p w14:paraId="610E82D5" w14:textId="49BB31F7" w:rsidR="003E44B9" w:rsidRDefault="003E44B9" w:rsidP="003E44B9">
      <w:pPr>
        <w:pStyle w:val="Tekstpodstawowy"/>
        <w:spacing w:after="0" w:line="360" w:lineRule="auto"/>
        <w:ind w:left="2410" w:hanging="1417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t>CZĘŚ</w:t>
      </w:r>
      <w:r>
        <w:rPr>
          <w:b/>
          <w:bCs/>
          <w:smallCaps/>
          <w:sz w:val="22"/>
          <w:szCs w:val="22"/>
        </w:rPr>
        <w:t xml:space="preserve">Ć </w:t>
      </w:r>
      <w:r w:rsidRPr="00BB2D75">
        <w:rPr>
          <w:b/>
          <w:bCs/>
          <w:smallCaps/>
          <w:sz w:val="22"/>
          <w:szCs w:val="22"/>
        </w:rPr>
        <w:t xml:space="preserve">V: </w:t>
      </w:r>
      <w:r w:rsidR="004146DA">
        <w:rPr>
          <w:rFonts w:ascii="Arial" w:hAnsi="Arial" w:cs="Arial"/>
          <w:color w:val="000000" w:themeColor="text1"/>
          <w:sz w:val="20"/>
        </w:rPr>
        <w:t xml:space="preserve">Przystawki do </w:t>
      </w:r>
      <w:r w:rsidR="005D04E7">
        <w:rPr>
          <w:rFonts w:ascii="Arial" w:hAnsi="Arial" w:cs="Arial"/>
          <w:color w:val="000000" w:themeColor="text1"/>
          <w:sz w:val="20"/>
        </w:rPr>
        <w:t>wieloczynnościowej maszyny</w:t>
      </w:r>
    </w:p>
    <w:p w14:paraId="78C7A25C" w14:textId="1DAC95FD" w:rsidR="003E44B9" w:rsidRDefault="003E44B9" w:rsidP="003E44B9">
      <w:pPr>
        <w:pStyle w:val="Tekstpodstawowy"/>
        <w:spacing w:after="0" w:line="360" w:lineRule="auto"/>
        <w:ind w:left="2410" w:hanging="1417"/>
        <w:jc w:val="left"/>
        <w:rPr>
          <w:b/>
          <w:bCs/>
          <w:smallCaps/>
          <w:sz w:val="22"/>
          <w:szCs w:val="22"/>
        </w:rPr>
      </w:pPr>
    </w:p>
    <w:p w14:paraId="0102DA6A" w14:textId="77777777" w:rsidR="003E44B9" w:rsidRPr="00BB2D75" w:rsidRDefault="003E44B9" w:rsidP="003E44B9">
      <w:pPr>
        <w:pStyle w:val="Tekstpodstawowy"/>
        <w:spacing w:after="0" w:line="360" w:lineRule="auto"/>
        <w:ind w:hanging="170"/>
        <w:jc w:val="left"/>
        <w:rPr>
          <w:b/>
          <w:bCs/>
          <w:smallCaps/>
          <w:sz w:val="22"/>
          <w:szCs w:val="22"/>
        </w:rPr>
      </w:pPr>
    </w:p>
    <w:p w14:paraId="67060EA6" w14:textId="780CC36F" w:rsidR="00223BC8" w:rsidRPr="00DE2611" w:rsidRDefault="00223BC8" w:rsidP="00F06E34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F06E34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F06E3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0353BCBE" w:rsidR="00F81C41" w:rsidRPr="003E44B9" w:rsidRDefault="00F81C41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>Podwykonawstwo</w:t>
      </w:r>
    </w:p>
    <w:p w14:paraId="2EC4CC62" w14:textId="77777777" w:rsidR="003635BE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postanowieniami art. 462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, Wykonawca może powierzyć wykonanie części zamówienia Podwykonawcy. </w:t>
      </w:r>
    </w:p>
    <w:p w14:paraId="4EE18BBD" w14:textId="01C4E383" w:rsidR="003635BE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fakultatywnością żądania (przewidzianą w art. 462 ust. 2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), Zamawiający nie żąda wskazywania przez Wykonawcę w ofercie, części zamówienia, których wykonanie zamierza powierzyć Podwykonawcom,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ani podawania nazw ewentualnych Podwykonawców. </w:t>
      </w:r>
    </w:p>
    <w:p w14:paraId="3DBABE15" w14:textId="7958DC3F" w:rsidR="00C05952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oraz nie będzie żądał przedstawienia oświadczenia o którym mowa w art. 125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Pr="00A95CD4" w:rsidRDefault="00640C67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95CD4">
        <w:rPr>
          <w:b/>
          <w:bCs/>
          <w:sz w:val="22"/>
          <w:szCs w:val="22"/>
        </w:rPr>
        <w:t>Informa</w:t>
      </w:r>
      <w:r w:rsidR="001679D4" w:rsidRPr="00A95CD4">
        <w:rPr>
          <w:b/>
          <w:bCs/>
          <w:sz w:val="22"/>
          <w:szCs w:val="22"/>
        </w:rPr>
        <w:t>cja o przedmiotowych środkach dowodowych.</w:t>
      </w:r>
    </w:p>
    <w:p w14:paraId="0A90221B" w14:textId="77777777" w:rsidR="00684D6E" w:rsidRPr="0081494B" w:rsidRDefault="00684D6E" w:rsidP="00684D6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r w:rsidRPr="0081494B">
        <w:rPr>
          <w:sz w:val="22"/>
          <w:szCs w:val="22"/>
        </w:rPr>
        <w:t>Zamawiający wymaga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Pr="0081494B">
        <w:rPr>
          <w:sz w:val="22"/>
          <w:szCs w:val="22"/>
        </w:rPr>
        <w:t>wraz z ofertą</w:t>
      </w:r>
      <w:r w:rsidRPr="0081494B">
        <w:rPr>
          <w:b/>
          <w:bCs/>
          <w:sz w:val="22"/>
          <w:szCs w:val="22"/>
        </w:rPr>
        <w:t xml:space="preserve"> przedmiotowych środków dowodowych, </w:t>
      </w:r>
      <w:r w:rsidRPr="0081494B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56792712" w14:textId="6B51B5B0" w:rsidR="00684D6E" w:rsidRDefault="00684D6E" w:rsidP="00684D6E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38B421F7" w14:textId="77777777" w:rsidR="008F27F4" w:rsidRPr="0081494B" w:rsidRDefault="008F27F4" w:rsidP="008F27F4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</w:p>
    <w:p w14:paraId="00DCBF66" w14:textId="5F3E4325" w:rsidR="00684D6E" w:rsidRPr="00544D92" w:rsidRDefault="00684D6E" w:rsidP="001E7C22">
      <w:pPr>
        <w:pStyle w:val="Akapitzlist"/>
        <w:numPr>
          <w:ilvl w:val="0"/>
          <w:numId w:val="54"/>
        </w:numPr>
        <w:shd w:val="clear" w:color="auto" w:fill="FFFFFF"/>
        <w:tabs>
          <w:tab w:val="left" w:pos="360"/>
          <w:tab w:val="left" w:pos="720"/>
        </w:tabs>
        <w:spacing w:line="276" w:lineRule="auto"/>
        <w:ind w:left="993" w:hanging="284"/>
        <w:contextualSpacing/>
        <w:rPr>
          <w:color w:val="000000" w:themeColor="text1"/>
          <w:sz w:val="22"/>
          <w:szCs w:val="22"/>
        </w:rPr>
      </w:pPr>
      <w:bookmarkStart w:id="6" w:name="_Hlk107554084"/>
      <w:r w:rsidRPr="00544D92">
        <w:rPr>
          <w:rFonts w:eastAsia="Calibri"/>
          <w:color w:val="000000"/>
          <w:sz w:val="22"/>
          <w:szCs w:val="22"/>
        </w:rPr>
        <w:t>Wykonawca</w:t>
      </w:r>
      <w:r>
        <w:rPr>
          <w:rFonts w:eastAsia="Calibri"/>
          <w:color w:val="000000"/>
          <w:sz w:val="22"/>
          <w:szCs w:val="22"/>
        </w:rPr>
        <w:t xml:space="preserve"> do </w:t>
      </w:r>
      <w:r w:rsidRPr="00544D92">
        <w:rPr>
          <w:rFonts w:eastAsia="Calibri"/>
          <w:color w:val="000000"/>
          <w:sz w:val="22"/>
          <w:szCs w:val="22"/>
        </w:rPr>
        <w:t xml:space="preserve">oferty winien dołączyć wypełnioną </w:t>
      </w:r>
      <w:r w:rsidRPr="00544D92">
        <w:rPr>
          <w:rFonts w:eastAsia="Calibri"/>
          <w:b/>
          <w:color w:val="000000"/>
          <w:sz w:val="22"/>
          <w:szCs w:val="22"/>
        </w:rPr>
        <w:t>w całości</w:t>
      </w:r>
      <w:r w:rsidRPr="00544D92">
        <w:rPr>
          <w:rFonts w:eastAsia="Calibri"/>
          <w:color w:val="000000"/>
          <w:sz w:val="22"/>
          <w:szCs w:val="22"/>
        </w:rPr>
        <w:t xml:space="preserve"> przygotowaną przez Zamawiającego</w:t>
      </w:r>
      <w:r w:rsidR="00481A00">
        <w:rPr>
          <w:rFonts w:eastAsia="Calibri"/>
          <w:color w:val="000000"/>
          <w:sz w:val="22"/>
          <w:szCs w:val="22"/>
        </w:rPr>
        <w:t xml:space="preserve"> </w:t>
      </w:r>
      <w:r w:rsidR="004B6320">
        <w:rPr>
          <w:rFonts w:eastAsia="Calibri"/>
          <w:color w:val="000000"/>
          <w:sz w:val="22"/>
          <w:szCs w:val="22"/>
        </w:rPr>
        <w:t xml:space="preserve">kartę katalogową, która po wypełnieniu staje się </w:t>
      </w:r>
      <w:r w:rsidR="00AB4837">
        <w:rPr>
          <w:rFonts w:eastAsia="Calibri"/>
          <w:b/>
          <w:color w:val="000000"/>
          <w:sz w:val="22"/>
          <w:szCs w:val="22"/>
        </w:rPr>
        <w:t>K</w:t>
      </w:r>
      <w:r w:rsidRPr="00544D92">
        <w:rPr>
          <w:rFonts w:eastAsia="Calibri"/>
          <w:b/>
          <w:color w:val="000000"/>
          <w:sz w:val="22"/>
          <w:szCs w:val="22"/>
        </w:rPr>
        <w:t>art</w:t>
      </w:r>
      <w:r w:rsidR="004B6320">
        <w:rPr>
          <w:rFonts w:eastAsia="Calibri"/>
          <w:b/>
          <w:color w:val="000000"/>
          <w:sz w:val="22"/>
          <w:szCs w:val="22"/>
        </w:rPr>
        <w:t xml:space="preserve">ą </w:t>
      </w:r>
      <w:r w:rsidR="00AB4837">
        <w:rPr>
          <w:rFonts w:eastAsia="Calibri"/>
          <w:b/>
          <w:color w:val="000000"/>
          <w:sz w:val="22"/>
          <w:szCs w:val="22"/>
        </w:rPr>
        <w:t>K</w:t>
      </w:r>
      <w:r w:rsidRPr="00544D92">
        <w:rPr>
          <w:rFonts w:eastAsia="Calibri"/>
          <w:b/>
          <w:color w:val="000000"/>
          <w:sz w:val="22"/>
          <w:szCs w:val="22"/>
        </w:rPr>
        <w:t xml:space="preserve">atalogową </w:t>
      </w:r>
      <w:r w:rsidR="00AB4837">
        <w:rPr>
          <w:rFonts w:eastAsia="Calibri"/>
          <w:b/>
          <w:color w:val="000000"/>
          <w:sz w:val="22"/>
          <w:szCs w:val="22"/>
        </w:rPr>
        <w:t>W</w:t>
      </w:r>
      <w:r w:rsidRPr="00544D92">
        <w:rPr>
          <w:rFonts w:eastAsia="Calibri"/>
          <w:b/>
          <w:color w:val="000000"/>
          <w:sz w:val="22"/>
          <w:szCs w:val="22"/>
        </w:rPr>
        <w:t>ykonawcy</w:t>
      </w:r>
      <w:r w:rsidR="00C8442B">
        <w:rPr>
          <w:rFonts w:eastAsia="Calibri"/>
          <w:b/>
          <w:color w:val="000000"/>
          <w:sz w:val="22"/>
          <w:szCs w:val="22"/>
        </w:rPr>
        <w:t xml:space="preserve"> (tabela)</w:t>
      </w:r>
      <w:r w:rsidRPr="00544D92"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color w:val="FF0000"/>
          <w:sz w:val="22"/>
          <w:szCs w:val="22"/>
        </w:rPr>
        <w:t>(</w:t>
      </w:r>
      <w:r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544D92">
        <w:rPr>
          <w:rFonts w:eastAsia="Calibri"/>
          <w:color w:val="FF0000"/>
          <w:sz w:val="22"/>
          <w:szCs w:val="22"/>
        </w:rPr>
        <w:t>)</w:t>
      </w:r>
      <w:r w:rsidRPr="00544D92">
        <w:rPr>
          <w:rFonts w:eastAsia="Calibri"/>
          <w:color w:val="000000"/>
          <w:sz w:val="22"/>
          <w:szCs w:val="22"/>
        </w:rPr>
        <w:t xml:space="preserve">, odnoszącą się do każdego wymaganego parametru (właściwości, cechy, funkcji, itp.) oferowanego wyboru, </w:t>
      </w:r>
      <w:r w:rsidRPr="00544D92">
        <w:rPr>
          <w:color w:val="000000" w:themeColor="text1"/>
          <w:sz w:val="22"/>
          <w:szCs w:val="22"/>
        </w:rPr>
        <w:t>w tym danych konstrukcyjnych, technicznych oraz dodatkowych.</w:t>
      </w:r>
    </w:p>
    <w:p w14:paraId="44506756" w14:textId="5961741C" w:rsidR="00684D6E" w:rsidRPr="00544D92" w:rsidRDefault="00684D6E" w:rsidP="00684D6E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Cs/>
          <w:color w:val="000000"/>
          <w:sz w:val="22"/>
          <w:szCs w:val="22"/>
        </w:rPr>
      </w:pPr>
      <w:r w:rsidRPr="00544D92">
        <w:rPr>
          <w:b/>
          <w:color w:val="000000"/>
          <w:sz w:val="22"/>
          <w:szCs w:val="22"/>
        </w:rPr>
        <w:t xml:space="preserve">Karta </w:t>
      </w:r>
      <w:r w:rsidR="001E7C22">
        <w:rPr>
          <w:b/>
          <w:color w:val="000000"/>
          <w:sz w:val="22"/>
          <w:szCs w:val="22"/>
        </w:rPr>
        <w:t>K</w:t>
      </w:r>
      <w:r w:rsidRPr="00544D92">
        <w:rPr>
          <w:b/>
          <w:color w:val="000000"/>
          <w:sz w:val="22"/>
          <w:szCs w:val="22"/>
        </w:rPr>
        <w:t>atalogowa Wykonawcy</w:t>
      </w:r>
      <w:r w:rsidRPr="00544D92">
        <w:rPr>
          <w:bCs/>
          <w:color w:val="000000"/>
          <w:sz w:val="22"/>
          <w:szCs w:val="22"/>
        </w:rPr>
        <w:t xml:space="preserve"> jest jednocześnie oświadczeniem Wykonawcy w zakresie zgodności oferowanego wyrobu z opisem przedmiotu zamówienia. </w:t>
      </w:r>
    </w:p>
    <w:p w14:paraId="5B9929B1" w14:textId="77777777" w:rsidR="00684D6E" w:rsidRDefault="00684D6E" w:rsidP="00684D6E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lastRenderedPageBreak/>
        <w:t>Składając wypełnioną kartę katalogową, Wykonawca jednocześnie</w:t>
      </w:r>
      <w:r w:rsidRPr="00544D92">
        <w:rPr>
          <w:sz w:val="22"/>
          <w:szCs w:val="22"/>
        </w:rPr>
        <w:t xml:space="preserve"> oświadcza, że oferowany przez niego wyrób jest zgodny również z pozostałymi wymaganiami, które nie zostały ujęte w karcie, a opisane zostały w wymaganiach </w:t>
      </w:r>
      <w:proofErr w:type="spellStart"/>
      <w:r w:rsidRPr="00544D92">
        <w:rPr>
          <w:sz w:val="22"/>
          <w:szCs w:val="22"/>
        </w:rPr>
        <w:t>taktyczno</w:t>
      </w:r>
      <w:proofErr w:type="spellEnd"/>
      <w:r w:rsidRPr="00544D92">
        <w:rPr>
          <w:sz w:val="22"/>
          <w:szCs w:val="22"/>
        </w:rPr>
        <w:t xml:space="preserve"> – technicznych (WET).</w:t>
      </w:r>
    </w:p>
    <w:p w14:paraId="1E661F50" w14:textId="2A6988CD" w:rsidR="001E7C22" w:rsidRPr="001E7C22" w:rsidRDefault="00C8442B" w:rsidP="00FB2DFC">
      <w:pPr>
        <w:numPr>
          <w:ilvl w:val="0"/>
          <w:numId w:val="53"/>
        </w:numPr>
        <w:shd w:val="clear" w:color="auto" w:fill="FFFFFF"/>
        <w:tabs>
          <w:tab w:val="left" w:pos="360"/>
          <w:tab w:val="left" w:pos="720"/>
        </w:tabs>
        <w:spacing w:line="276" w:lineRule="auto"/>
        <w:ind w:firstLine="0"/>
        <w:contextualSpacing/>
        <w:rPr>
          <w:b/>
          <w:strike/>
          <w:color w:val="000000"/>
          <w:sz w:val="22"/>
          <w:szCs w:val="22"/>
        </w:rPr>
      </w:pPr>
      <w:r w:rsidRPr="00FB2DFC">
        <w:rPr>
          <w:b/>
          <w:color w:val="000000"/>
          <w:sz w:val="22"/>
          <w:szCs w:val="22"/>
        </w:rPr>
        <w:t xml:space="preserve">Kartę/stronę </w:t>
      </w:r>
      <w:proofErr w:type="spellStart"/>
      <w:r w:rsidR="005D04E7">
        <w:rPr>
          <w:b/>
          <w:color w:val="000000"/>
          <w:sz w:val="22"/>
          <w:szCs w:val="22"/>
        </w:rPr>
        <w:t>K</w:t>
      </w:r>
      <w:r w:rsidRPr="00FB2DFC">
        <w:rPr>
          <w:b/>
          <w:color w:val="000000"/>
          <w:sz w:val="22"/>
          <w:szCs w:val="22"/>
        </w:rPr>
        <w:t>atologow</w:t>
      </w:r>
      <w:r w:rsidR="009F1CEE" w:rsidRPr="00FB2DFC">
        <w:rPr>
          <w:b/>
          <w:color w:val="000000"/>
          <w:sz w:val="22"/>
          <w:szCs w:val="22"/>
        </w:rPr>
        <w:t>ą</w:t>
      </w:r>
      <w:proofErr w:type="spellEnd"/>
      <w:r w:rsidRPr="00FB2DFC">
        <w:rPr>
          <w:b/>
          <w:color w:val="000000"/>
          <w:sz w:val="22"/>
          <w:szCs w:val="22"/>
        </w:rPr>
        <w:t xml:space="preserve"> od producenta </w:t>
      </w:r>
      <w:r w:rsidRPr="00FB2DFC">
        <w:rPr>
          <w:color w:val="000000"/>
          <w:sz w:val="22"/>
          <w:szCs w:val="22"/>
        </w:rPr>
        <w:t>( lub</w:t>
      </w:r>
      <w:r w:rsidRPr="00FB2DFC">
        <w:rPr>
          <w:b/>
          <w:color w:val="000000"/>
          <w:sz w:val="22"/>
          <w:szCs w:val="22"/>
        </w:rPr>
        <w:t xml:space="preserve">  </w:t>
      </w:r>
      <w:r w:rsidRPr="00FB2DFC">
        <w:rPr>
          <w:color w:val="000000"/>
          <w:sz w:val="22"/>
          <w:szCs w:val="22"/>
        </w:rPr>
        <w:t>sporządzoną przez</w:t>
      </w:r>
      <w:r w:rsidRPr="00FB2DFC">
        <w:rPr>
          <w:b/>
          <w:color w:val="000000"/>
          <w:sz w:val="22"/>
          <w:szCs w:val="22"/>
        </w:rPr>
        <w:t xml:space="preserve"> </w:t>
      </w:r>
      <w:r w:rsidRPr="00FB2DFC">
        <w:rPr>
          <w:color w:val="000000"/>
          <w:sz w:val="22"/>
          <w:szCs w:val="22"/>
        </w:rPr>
        <w:t>Wykonawcę) oferowanego wyrobu zawiera</w:t>
      </w:r>
      <w:r w:rsidR="009F1CEE" w:rsidRPr="00FB2DFC">
        <w:rPr>
          <w:color w:val="000000"/>
          <w:sz w:val="22"/>
          <w:szCs w:val="22"/>
        </w:rPr>
        <w:t>jącą</w:t>
      </w:r>
      <w:r w:rsidRPr="00FB2DFC">
        <w:rPr>
          <w:color w:val="000000"/>
          <w:sz w:val="22"/>
          <w:szCs w:val="22"/>
        </w:rPr>
        <w:t xml:space="preserve"> wszystkie wymagania eksploatacyjno- techniczne zawarte w Załączniku nr 3 do </w:t>
      </w:r>
      <w:proofErr w:type="spellStart"/>
      <w:r w:rsidRPr="00FB2DFC">
        <w:rPr>
          <w:color w:val="000000"/>
          <w:sz w:val="22"/>
          <w:szCs w:val="22"/>
        </w:rPr>
        <w:t>ppu</w:t>
      </w:r>
      <w:proofErr w:type="spellEnd"/>
      <w:r w:rsidRPr="00FB2DFC">
        <w:rPr>
          <w:color w:val="000000"/>
          <w:sz w:val="22"/>
          <w:szCs w:val="22"/>
        </w:rPr>
        <w:t xml:space="preserve"> oraz Karcie Katalogowej Wykonawcy(</w:t>
      </w:r>
      <w:r w:rsidR="001E7C22"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FB2DFC">
        <w:rPr>
          <w:color w:val="000000"/>
          <w:sz w:val="22"/>
          <w:szCs w:val="22"/>
        </w:rPr>
        <w:t>)</w:t>
      </w:r>
      <w:r w:rsidR="009F1CEE" w:rsidRPr="00FB2DFC">
        <w:rPr>
          <w:color w:val="000000"/>
          <w:sz w:val="22"/>
          <w:szCs w:val="22"/>
        </w:rPr>
        <w:t xml:space="preserve"> </w:t>
      </w:r>
    </w:p>
    <w:p w14:paraId="565DA1F7" w14:textId="1B2610FB" w:rsidR="00C8442B" w:rsidRPr="00FB2DFC" w:rsidRDefault="00C8442B" w:rsidP="001E7C22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/>
          <w:strike/>
          <w:color w:val="000000"/>
          <w:sz w:val="22"/>
          <w:szCs w:val="22"/>
        </w:rPr>
      </w:pPr>
      <w:r w:rsidRPr="00FB2DFC">
        <w:rPr>
          <w:b/>
          <w:color w:val="000000"/>
          <w:sz w:val="22"/>
          <w:szCs w:val="22"/>
        </w:rPr>
        <w:t>Wymagania</w:t>
      </w:r>
      <w:r w:rsidR="009F1CEE" w:rsidRPr="00FB2DFC">
        <w:rPr>
          <w:b/>
          <w:color w:val="000000"/>
          <w:sz w:val="22"/>
          <w:szCs w:val="22"/>
        </w:rPr>
        <w:t xml:space="preserve"> dla karty/stron</w:t>
      </w:r>
      <w:r w:rsidRPr="00FB2DFC">
        <w:rPr>
          <w:b/>
          <w:color w:val="000000"/>
          <w:sz w:val="22"/>
          <w:szCs w:val="22"/>
        </w:rPr>
        <w:t>y katalogowej: max 2 strony A4 wraz ze zdję</w:t>
      </w:r>
      <w:r w:rsidR="009F1CEE" w:rsidRPr="00FB2DFC">
        <w:rPr>
          <w:b/>
          <w:color w:val="000000"/>
          <w:sz w:val="22"/>
          <w:szCs w:val="22"/>
        </w:rPr>
        <w:t>ciem</w:t>
      </w:r>
      <w:r w:rsidRPr="00FB2DFC">
        <w:rPr>
          <w:b/>
          <w:color w:val="000000"/>
          <w:sz w:val="22"/>
          <w:szCs w:val="22"/>
        </w:rPr>
        <w:t xml:space="preserve"> oferowanego wyrobu</w:t>
      </w:r>
    </w:p>
    <w:bookmarkEnd w:id="6"/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Przepisy art. 104 – 107 ustawy </w:t>
      </w:r>
      <w:proofErr w:type="spellStart"/>
      <w:r w:rsidRPr="00D43DED">
        <w:rPr>
          <w:sz w:val="22"/>
          <w:szCs w:val="22"/>
        </w:rPr>
        <w:t>Pzp</w:t>
      </w:r>
      <w:proofErr w:type="spellEnd"/>
      <w:r w:rsidRPr="00D43DED">
        <w:rPr>
          <w:sz w:val="22"/>
          <w:szCs w:val="22"/>
        </w:rPr>
        <w:t>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7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8" w:name="_Hlk83727609"/>
      <w:bookmarkEnd w:id="7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8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9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9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 xml:space="preserve">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EBC895F" w14:textId="1C3AC072" w:rsidR="00CD7227" w:rsidRPr="00ED4218" w:rsidRDefault="00641B37" w:rsidP="00ED421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0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1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2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 xml:space="preserve">w art. 125 ust 1 ustawy </w:t>
      </w:r>
      <w:proofErr w:type="spellStart"/>
      <w:r w:rsidR="00371EFE">
        <w:rPr>
          <w:sz w:val="22"/>
          <w:szCs w:val="22"/>
        </w:rPr>
        <w:t>Pzp</w:t>
      </w:r>
      <w:bookmarkEnd w:id="10"/>
      <w:bookmarkEnd w:id="12"/>
      <w:proofErr w:type="spellEnd"/>
      <w:r w:rsidR="005805AD" w:rsidRPr="0094774C">
        <w:rPr>
          <w:sz w:val="22"/>
          <w:szCs w:val="22"/>
        </w:rPr>
        <w:t>.</w:t>
      </w:r>
    </w:p>
    <w:bookmarkEnd w:id="11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AB6914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3" w:name="_Hlk110925872"/>
      <w:bookmarkStart w:id="14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3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5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5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17B34713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</w:t>
      </w:r>
      <w:proofErr w:type="spellStart"/>
      <w:r w:rsidRPr="00D4661F">
        <w:rPr>
          <w:b/>
          <w:bCs/>
          <w:i/>
          <w:iCs/>
          <w:color w:val="000000"/>
          <w:sz w:val="22"/>
          <w:szCs w:val="22"/>
        </w:rPr>
        <w:t>Pzp</w:t>
      </w:r>
      <w:proofErr w:type="spellEnd"/>
      <w:r w:rsidRPr="00A83986">
        <w:rPr>
          <w:i/>
          <w:iCs/>
          <w:color w:val="000000"/>
          <w:sz w:val="22"/>
          <w:szCs w:val="22"/>
        </w:rPr>
        <w:t>.</w:t>
      </w:r>
    </w:p>
    <w:p w14:paraId="53BA580D" w14:textId="77777777" w:rsidR="00684D6E" w:rsidRDefault="00684D6E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6" w:name="_Hlk110925929"/>
      <w:bookmarkEnd w:id="14"/>
      <w:r>
        <w:rPr>
          <w:b/>
          <w:sz w:val="22"/>
          <w:szCs w:val="22"/>
        </w:rPr>
        <w:t>Sposób składania dokumentów przez</w:t>
      </w:r>
      <w:bookmarkEnd w:id="16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lastRenderedPageBreak/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7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7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8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9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9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0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0"/>
      <w:r w:rsidRPr="00CA24FE">
        <w:rPr>
          <w:color w:val="000000"/>
          <w:sz w:val="22"/>
          <w:szCs w:val="22"/>
        </w:rPr>
        <w:t xml:space="preserve">. </w:t>
      </w:r>
    </w:p>
    <w:bookmarkEnd w:id="18"/>
    <w:p w14:paraId="0924D703" w14:textId="64E53E35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49906FF7" w14:textId="73ABB3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1D0788B2" w14:textId="4513D9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25814144" w14:textId="77777777" w:rsidR="00684D6E" w:rsidRPr="00684D6E" w:rsidRDefault="00684D6E" w:rsidP="00854693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Zamawiający prowadzi postępowanie na podstawie art. 61 ust. 1 Ustawy </w:t>
      </w:r>
      <w:proofErr w:type="spellStart"/>
      <w:r w:rsidRPr="00223F9D">
        <w:rPr>
          <w:sz w:val="22"/>
          <w:szCs w:val="22"/>
        </w:rPr>
        <w:t>Pzp</w:t>
      </w:r>
      <w:proofErr w:type="spellEnd"/>
      <w:r w:rsidRPr="00223F9D">
        <w:rPr>
          <w:sz w:val="22"/>
          <w:szCs w:val="22"/>
        </w:rPr>
        <w:t>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0DD960DA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7D0297">
        <w:rPr>
          <w:b/>
          <w:sz w:val="22"/>
          <w:szCs w:val="22"/>
        </w:rPr>
        <w:t>7</w:t>
      </w:r>
      <w:r w:rsidR="008F27F4">
        <w:rPr>
          <w:b/>
          <w:sz w:val="22"/>
          <w:szCs w:val="22"/>
        </w:rPr>
        <w:t>5</w:t>
      </w:r>
      <w:r w:rsidR="007D0297">
        <w:rPr>
          <w:b/>
          <w:sz w:val="22"/>
          <w:szCs w:val="22"/>
        </w:rPr>
        <w:t>/</w:t>
      </w:r>
      <w:r w:rsidR="008F27F4">
        <w:rPr>
          <w:b/>
          <w:sz w:val="22"/>
          <w:szCs w:val="22"/>
        </w:rPr>
        <w:t>IP</w:t>
      </w:r>
      <w:r w:rsidRPr="00C232F9">
        <w:rPr>
          <w:b/>
          <w:sz w:val="22"/>
          <w:szCs w:val="22"/>
        </w:rPr>
        <w:t>/202</w:t>
      </w:r>
      <w:r w:rsidR="007D0297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065F8AD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7D0297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1" w:name="_heading=h.3dy6vkm" w:colFirst="0" w:colLast="0"/>
      <w:bookmarkEnd w:id="21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2" w:name="_heading=h.1t3h5sf" w:colFirst="0" w:colLast="0"/>
            <w:bookmarkEnd w:id="22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6D09C245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19499E" w:rsidRPr="003C1B57">
        <w:rPr>
          <w:b/>
          <w:color w:val="FF0000"/>
          <w:sz w:val="22"/>
          <w:szCs w:val="22"/>
        </w:rPr>
        <w:t>08.08</w:t>
      </w:r>
      <w:r w:rsidR="0091042E" w:rsidRPr="003C1B57">
        <w:rPr>
          <w:b/>
          <w:color w:val="FF0000"/>
          <w:sz w:val="22"/>
          <w:szCs w:val="22"/>
        </w:rPr>
        <w:t>.2025</w:t>
      </w:r>
      <w:r w:rsidR="00B33751" w:rsidRPr="003C1B57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F47B1F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 xml:space="preserve">,,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 xml:space="preserve">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lastRenderedPageBreak/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1FDF125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6A734F">
        <w:rPr>
          <w:b/>
          <w:color w:val="FF0000"/>
          <w:sz w:val="22"/>
          <w:szCs w:val="22"/>
        </w:rPr>
        <w:t>12</w:t>
      </w:r>
      <w:r w:rsidR="0091042E">
        <w:rPr>
          <w:b/>
          <w:color w:val="FF0000"/>
          <w:sz w:val="22"/>
          <w:szCs w:val="22"/>
        </w:rPr>
        <w:t>.05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</w:t>
      </w:r>
      <w:r w:rsidR="007F5F80">
        <w:rPr>
          <w:b/>
          <w:color w:val="FF0000"/>
          <w:sz w:val="22"/>
          <w:szCs w:val="22"/>
        </w:rPr>
        <w:t>8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CDF577B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7F5F80">
        <w:rPr>
          <w:rStyle w:val="Hipercze"/>
          <w:b/>
          <w:color w:val="FF0000"/>
          <w:sz w:val="22"/>
          <w:szCs w:val="22"/>
          <w:u w:val="none"/>
        </w:rPr>
        <w:t>12</w:t>
      </w:r>
      <w:r w:rsidR="0091042E">
        <w:rPr>
          <w:rStyle w:val="Hipercze"/>
          <w:b/>
          <w:color w:val="FF0000"/>
          <w:sz w:val="22"/>
          <w:szCs w:val="22"/>
          <w:u w:val="none"/>
        </w:rPr>
        <w:t>.05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F5F80">
        <w:rPr>
          <w:rStyle w:val="Hipercze"/>
          <w:b/>
          <w:bCs/>
          <w:color w:val="FF0000"/>
          <w:sz w:val="22"/>
          <w:szCs w:val="22"/>
          <w:u w:val="none"/>
        </w:rPr>
        <w:t>8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 xml:space="preserve">Zgodnie z postanowieniami ustawy </w:t>
      </w:r>
      <w:proofErr w:type="spellStart"/>
      <w:r w:rsidRPr="00C44015">
        <w:rPr>
          <w:color w:val="000000"/>
          <w:sz w:val="22"/>
          <w:szCs w:val="22"/>
          <w:shd w:val="clear" w:color="auto" w:fill="FFFFFF"/>
        </w:rPr>
        <w:t>Pzp</w:t>
      </w:r>
      <w:proofErr w:type="spellEnd"/>
      <w:r w:rsidRPr="00C44015">
        <w:rPr>
          <w:color w:val="000000"/>
          <w:sz w:val="22"/>
          <w:szCs w:val="22"/>
          <w:shd w:val="clear" w:color="auto" w:fill="FFFFFF"/>
        </w:rPr>
        <w:t xml:space="preserve">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proofErr w:type="spellStart"/>
      <w:r w:rsidR="00BA25EB" w:rsidRPr="00F46B7B">
        <w:rPr>
          <w:color w:val="000000"/>
          <w:sz w:val="22"/>
          <w:szCs w:val="22"/>
        </w:rPr>
        <w:t>ocenie.</w:t>
      </w:r>
      <w:r w:rsidRPr="00F46B7B">
        <w:rPr>
          <w:color w:val="000000"/>
          <w:sz w:val="22"/>
          <w:szCs w:val="22"/>
        </w:rPr>
        <w:t>Zamawiający</w:t>
      </w:r>
      <w:proofErr w:type="spellEnd"/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1555C9DB" w:rsidR="00A24B9D" w:rsidRDefault="00893AFC" w:rsidP="00D07A33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172D9FFE" w14:textId="4C5F870C" w:rsidR="003C1B57" w:rsidRDefault="003C1B57" w:rsidP="003C1B57">
      <w:pPr>
        <w:spacing w:after="240"/>
        <w:ind w:left="567" w:firstLine="0"/>
        <w:rPr>
          <w:color w:val="000000"/>
        </w:rPr>
      </w:pPr>
    </w:p>
    <w:p w14:paraId="07CCC4E9" w14:textId="55AAC12F" w:rsidR="003C1B57" w:rsidRDefault="003C1B57" w:rsidP="003C1B57">
      <w:pPr>
        <w:spacing w:after="240"/>
        <w:ind w:left="567" w:firstLine="0"/>
        <w:rPr>
          <w:color w:val="000000"/>
        </w:rPr>
      </w:pPr>
    </w:p>
    <w:p w14:paraId="12C21E2A" w14:textId="77777777" w:rsidR="003C1B57" w:rsidRPr="00D07A33" w:rsidRDefault="003C1B57" w:rsidP="003C1B57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bookmarkStart w:id="26" w:name="_Hlk193454889"/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2F02C0C9" w:rsidR="008764F6" w:rsidRPr="0048346E" w:rsidRDefault="004B6DB9" w:rsidP="004B6DB9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="008764F6" w:rsidRPr="0048346E">
        <w:rPr>
          <w:b/>
          <w:sz w:val="22"/>
          <w:szCs w:val="22"/>
          <w:u w:val="single"/>
        </w:rPr>
        <w:t>Cena (P C)</w:t>
      </w:r>
      <w:r w:rsidR="008764F6">
        <w:rPr>
          <w:b/>
          <w:sz w:val="22"/>
          <w:szCs w:val="22"/>
          <w:u w:val="single"/>
        </w:rPr>
        <w:t xml:space="preserve"> </w:t>
      </w:r>
    </w:p>
    <w:p w14:paraId="3C77F62F" w14:textId="03AF63E5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="004B6DB9">
        <w:rPr>
          <w:b/>
          <w:color w:val="000000"/>
          <w:sz w:val="22"/>
          <w:szCs w:val="22"/>
        </w:rPr>
        <w:t>90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lastRenderedPageBreak/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48DE182B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3CFF8C9B" w14:textId="75B19555" w:rsidR="004B6DB9" w:rsidRDefault="004B6DB9" w:rsidP="004B6DB9">
      <w:pPr>
        <w:spacing w:after="0"/>
        <w:ind w:left="851" w:firstLine="0"/>
        <w:jc w:val="left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13.1.2  </w:t>
      </w:r>
      <w:r w:rsidRPr="00F17337">
        <w:rPr>
          <w:b/>
          <w:sz w:val="22"/>
          <w:szCs w:val="22"/>
          <w:u w:val="single"/>
        </w:rPr>
        <w:t>Wymiar gwarancji</w:t>
      </w:r>
      <w:r w:rsidRPr="00F17337">
        <w:rPr>
          <w:sz w:val="22"/>
          <w:szCs w:val="22"/>
        </w:rPr>
        <w:t xml:space="preserve"> (</w:t>
      </w:r>
      <w:r w:rsidRPr="00F17337">
        <w:rPr>
          <w:b/>
          <w:sz w:val="24"/>
          <w:szCs w:val="24"/>
        </w:rPr>
        <w:t>P</w:t>
      </w:r>
      <w:r w:rsidRPr="00F17337">
        <w:rPr>
          <w:sz w:val="24"/>
          <w:szCs w:val="24"/>
        </w:rPr>
        <w:t xml:space="preserve"> </w:t>
      </w:r>
      <w:r w:rsidRPr="00F17337">
        <w:rPr>
          <w:sz w:val="24"/>
          <w:szCs w:val="24"/>
          <w:vertAlign w:val="subscript"/>
        </w:rPr>
        <w:t>G</w:t>
      </w:r>
      <w:r w:rsidRPr="00F17337">
        <w:rPr>
          <w:sz w:val="22"/>
          <w:szCs w:val="22"/>
        </w:rPr>
        <w:t>)</w:t>
      </w:r>
    </w:p>
    <w:p w14:paraId="38BADC6F" w14:textId="28E4D6B2" w:rsidR="004B6DB9" w:rsidRDefault="004B6DB9" w:rsidP="004B6DB9">
      <w:pPr>
        <w:spacing w:after="0"/>
        <w:ind w:left="851" w:firstLine="0"/>
        <w:jc w:val="left"/>
        <w:rPr>
          <w:sz w:val="22"/>
          <w:szCs w:val="22"/>
        </w:rPr>
      </w:pPr>
    </w:p>
    <w:p w14:paraId="751A7FFB" w14:textId="77777777" w:rsidR="004B6DB9" w:rsidRPr="004B6DB9" w:rsidRDefault="004B6DB9" w:rsidP="004B6DB9">
      <w:pPr>
        <w:spacing w:before="120"/>
        <w:ind w:left="1418" w:firstLine="0"/>
        <w:jc w:val="left"/>
        <w:rPr>
          <w:sz w:val="22"/>
          <w:szCs w:val="22"/>
        </w:rPr>
      </w:pPr>
      <w:r w:rsidRPr="004B6DB9">
        <w:rPr>
          <w:sz w:val="22"/>
          <w:szCs w:val="22"/>
        </w:rPr>
        <w:t>Waga kryterium: 1</w:t>
      </w:r>
      <w:r w:rsidRPr="004B6DB9">
        <w:rPr>
          <w:b/>
          <w:sz w:val="22"/>
          <w:szCs w:val="22"/>
        </w:rPr>
        <w:t>0</w:t>
      </w:r>
      <w:r w:rsidRPr="004B6DB9">
        <w:rPr>
          <w:b/>
          <w:sz w:val="22"/>
          <w:szCs w:val="22"/>
        </w:rPr>
        <w:br/>
      </w:r>
      <w:r w:rsidRPr="004B6DB9">
        <w:t>/</w:t>
      </w:r>
      <w:r w:rsidRPr="004B6DB9">
        <w:rPr>
          <w:i/>
        </w:rPr>
        <w:t>maksymalna liczba punktów, która może być przyznana w tym kryterium</w:t>
      </w:r>
      <w:r w:rsidRPr="004B6DB9">
        <w:t>/</w:t>
      </w:r>
    </w:p>
    <w:p w14:paraId="14ACB5AD" w14:textId="77777777" w:rsidR="004B6DB9" w:rsidRPr="004B6DB9" w:rsidRDefault="004B6DB9" w:rsidP="004B6DB9">
      <w:pPr>
        <w:ind w:left="1418" w:firstLine="0"/>
        <w:rPr>
          <w:sz w:val="22"/>
          <w:szCs w:val="22"/>
        </w:rPr>
      </w:pPr>
      <w:r w:rsidRPr="004B6DB9">
        <w:rPr>
          <w:sz w:val="22"/>
          <w:szCs w:val="22"/>
        </w:rPr>
        <w:t xml:space="preserve">Przedłużenie podstawowego terminu gwarancji – Zamawiający dokona punktacji wg następującego schematu: </w:t>
      </w:r>
    </w:p>
    <w:tbl>
      <w:tblPr>
        <w:tblW w:w="0" w:type="auto"/>
        <w:tblInd w:w="1418" w:type="dxa"/>
        <w:shd w:val="clear" w:color="auto" w:fill="EAF1DD"/>
        <w:tblLook w:val="04A0" w:firstRow="1" w:lastRow="0" w:firstColumn="1" w:lastColumn="0" w:noHBand="0" w:noVBand="1"/>
      </w:tblPr>
      <w:tblGrid>
        <w:gridCol w:w="3793"/>
        <w:gridCol w:w="993"/>
      </w:tblGrid>
      <w:tr w:rsidR="004B6DB9" w:rsidRPr="004B6DB9" w14:paraId="11D2888B" w14:textId="77777777" w:rsidTr="0091042E">
        <w:tc>
          <w:tcPr>
            <w:tcW w:w="3793" w:type="dxa"/>
            <w:shd w:val="clear" w:color="auto" w:fill="EAF1DD"/>
            <w:vAlign w:val="center"/>
          </w:tcPr>
          <w:p w14:paraId="40C25A21" w14:textId="77777777" w:rsidR="004B6DB9" w:rsidRPr="004B6DB9" w:rsidRDefault="004B6DB9" w:rsidP="004B6DB9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 w:rsidRPr="004B6DB9">
              <w:rPr>
                <w:sz w:val="22"/>
                <w:szCs w:val="22"/>
              </w:rPr>
              <w:t>Gwarancja podstawowa – 24 miesięcy: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7B088B3C" w14:textId="77777777" w:rsidR="004B6DB9" w:rsidRPr="004B6DB9" w:rsidRDefault="004B6DB9" w:rsidP="004B6DB9">
            <w:pPr>
              <w:spacing w:before="60" w:after="60"/>
              <w:ind w:left="0" w:firstLine="0"/>
              <w:jc w:val="right"/>
              <w:rPr>
                <w:sz w:val="22"/>
                <w:szCs w:val="22"/>
              </w:rPr>
            </w:pPr>
            <w:r w:rsidRPr="004B6DB9">
              <w:rPr>
                <w:b/>
                <w:sz w:val="22"/>
                <w:szCs w:val="22"/>
              </w:rPr>
              <w:t>0 pkt</w:t>
            </w:r>
            <w:r w:rsidRPr="004B6DB9">
              <w:rPr>
                <w:sz w:val="22"/>
                <w:szCs w:val="22"/>
              </w:rPr>
              <w:t>.</w:t>
            </w:r>
          </w:p>
        </w:tc>
      </w:tr>
      <w:tr w:rsidR="004B6DB9" w:rsidRPr="004B6DB9" w14:paraId="122055B8" w14:textId="77777777" w:rsidTr="0091042E">
        <w:tc>
          <w:tcPr>
            <w:tcW w:w="3793" w:type="dxa"/>
            <w:shd w:val="clear" w:color="auto" w:fill="EAF1DD"/>
            <w:vAlign w:val="center"/>
          </w:tcPr>
          <w:p w14:paraId="54CCE6D4" w14:textId="77777777" w:rsidR="004B6DB9" w:rsidRPr="004B6DB9" w:rsidRDefault="004B6DB9" w:rsidP="004B6DB9">
            <w:pPr>
              <w:spacing w:before="60"/>
              <w:ind w:left="0" w:firstLine="0"/>
              <w:jc w:val="left"/>
              <w:rPr>
                <w:sz w:val="22"/>
                <w:szCs w:val="22"/>
              </w:rPr>
            </w:pPr>
            <w:r w:rsidRPr="004B6DB9">
              <w:rPr>
                <w:sz w:val="22"/>
                <w:szCs w:val="22"/>
              </w:rPr>
              <w:t>Gwarancja przedłużona – 36 miesięcy: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53C044E8" w14:textId="77777777" w:rsidR="004B6DB9" w:rsidRPr="004B6DB9" w:rsidRDefault="004B6DB9" w:rsidP="004B6DB9">
            <w:pPr>
              <w:spacing w:before="60" w:after="60"/>
              <w:ind w:left="0" w:firstLine="0"/>
              <w:jc w:val="right"/>
              <w:rPr>
                <w:sz w:val="22"/>
                <w:szCs w:val="22"/>
              </w:rPr>
            </w:pPr>
            <w:r w:rsidRPr="004B6DB9">
              <w:rPr>
                <w:b/>
                <w:sz w:val="22"/>
                <w:szCs w:val="22"/>
              </w:rPr>
              <w:t>10 pkt.</w:t>
            </w:r>
          </w:p>
        </w:tc>
      </w:tr>
    </w:tbl>
    <w:p w14:paraId="6E0D204F" w14:textId="77777777" w:rsidR="004B6DB9" w:rsidRPr="00F17337" w:rsidRDefault="004B6DB9" w:rsidP="004B6DB9">
      <w:pPr>
        <w:spacing w:after="0"/>
        <w:ind w:left="851" w:firstLine="0"/>
        <w:jc w:val="left"/>
        <w:rPr>
          <w:sz w:val="22"/>
          <w:szCs w:val="22"/>
        </w:rPr>
      </w:pPr>
    </w:p>
    <w:p w14:paraId="62A55619" w14:textId="77777777" w:rsidR="004B6DB9" w:rsidRPr="00BE6BEA" w:rsidRDefault="004B6DB9" w:rsidP="004B6DB9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BE6BEA">
        <w:rPr>
          <w:color w:val="000000"/>
          <w:sz w:val="22"/>
          <w:szCs w:val="22"/>
        </w:rPr>
        <w:t>Jako najkorzystniejszą Zamawiający wybierze ofertę, która uzyska najwyższą ilość punktów (P) obliczoną wg poniższego wzoru:</w:t>
      </w:r>
    </w:p>
    <w:p w14:paraId="7BE4F4F7" w14:textId="77777777" w:rsidR="004B6DB9" w:rsidRPr="00BE6BEA" w:rsidRDefault="004B6DB9" w:rsidP="004B6DB9">
      <w:pPr>
        <w:spacing w:after="240"/>
        <w:ind w:left="567" w:firstLine="0"/>
        <w:jc w:val="center"/>
        <w:rPr>
          <w:b/>
          <w:sz w:val="22"/>
          <w:szCs w:val="22"/>
        </w:rPr>
      </w:pPr>
      <w:r w:rsidRPr="00BE6BEA">
        <w:rPr>
          <w:b/>
          <w:sz w:val="22"/>
          <w:szCs w:val="22"/>
        </w:rPr>
        <w:t>P</w:t>
      </w:r>
      <w:r w:rsidRPr="00BE6BEA">
        <w:rPr>
          <w:b/>
          <w:sz w:val="28"/>
          <w:szCs w:val="28"/>
        </w:rPr>
        <w:t xml:space="preserve"> = </w:t>
      </w:r>
      <w:r w:rsidRPr="00BE6BEA">
        <w:rPr>
          <w:b/>
          <w:color w:val="000000"/>
          <w:sz w:val="24"/>
          <w:szCs w:val="24"/>
        </w:rPr>
        <w:t xml:space="preserve">P </w:t>
      </w:r>
      <w:r w:rsidRPr="00BE6BEA">
        <w:rPr>
          <w:color w:val="000000"/>
          <w:sz w:val="24"/>
          <w:szCs w:val="24"/>
          <w:vertAlign w:val="subscript"/>
        </w:rPr>
        <w:t>C</w:t>
      </w:r>
      <w:r w:rsidRPr="00BE6BEA">
        <w:rPr>
          <w:b/>
          <w:sz w:val="22"/>
          <w:szCs w:val="22"/>
        </w:rPr>
        <w:t xml:space="preserve"> + </w:t>
      </w:r>
      <w:r w:rsidRPr="00BE6BEA">
        <w:rPr>
          <w:b/>
          <w:sz w:val="24"/>
          <w:szCs w:val="24"/>
        </w:rPr>
        <w:t>P</w:t>
      </w:r>
      <w:r w:rsidRPr="00BE6BEA">
        <w:rPr>
          <w:sz w:val="24"/>
          <w:szCs w:val="24"/>
        </w:rPr>
        <w:t xml:space="preserve"> </w:t>
      </w:r>
      <w:r w:rsidRPr="00BE6BEA">
        <w:rPr>
          <w:sz w:val="24"/>
          <w:szCs w:val="24"/>
          <w:vertAlign w:val="subscript"/>
        </w:rPr>
        <w:t>G</w:t>
      </w:r>
      <w:r w:rsidRPr="00BE6BEA">
        <w:rPr>
          <w:sz w:val="22"/>
          <w:szCs w:val="22"/>
        </w:rPr>
        <w:t xml:space="preserve"> </w:t>
      </w:r>
    </w:p>
    <w:p w14:paraId="253F31A8" w14:textId="550B95FE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  <w:bookmarkEnd w:id="26"/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21DD79FB" w:rsidR="00C93E86" w:rsidRPr="00774C92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DB72D5">
              <w:rPr>
                <w:color w:val="000000"/>
                <w:sz w:val="22"/>
                <w:szCs w:val="22"/>
              </w:rPr>
              <w:t xml:space="preserve"> </w:t>
            </w:r>
            <w:r w:rsidR="00C93E86"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D36A07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</w:t>
      </w:r>
      <w:r w:rsidRPr="002A2A93">
        <w:rPr>
          <w:b/>
          <w:sz w:val="22"/>
          <w:szCs w:val="22"/>
        </w:rPr>
        <w:t>§</w:t>
      </w:r>
      <w:r w:rsidR="009D3E30" w:rsidRPr="002A2A93">
        <w:rPr>
          <w:b/>
          <w:sz w:val="22"/>
          <w:szCs w:val="22"/>
        </w:rPr>
        <w:t xml:space="preserve"> </w:t>
      </w:r>
      <w:r w:rsidR="002A2A93">
        <w:rPr>
          <w:b/>
          <w:sz w:val="22"/>
          <w:szCs w:val="22"/>
        </w:rPr>
        <w:t>10</w:t>
      </w:r>
      <w:r w:rsidRPr="002A2A93">
        <w:rPr>
          <w:b/>
          <w:sz w:val="22"/>
          <w:szCs w:val="22"/>
        </w:rPr>
        <w:t xml:space="preserve"> projektowanych</w:t>
      </w:r>
      <w:r w:rsidRPr="001D2DF4">
        <w:rPr>
          <w:b/>
          <w:sz w:val="22"/>
          <w:szCs w:val="22"/>
        </w:rPr>
        <w:t xml:space="preserve">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60AF1A0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9D3E30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A2A93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5923F093" w:rsidR="00A24B9D" w:rsidRPr="00D07A33" w:rsidRDefault="00945AE5" w:rsidP="00D07A33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 xml:space="preserve">4 Regionalna Baza Logistyczna (dalej: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),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reprezentowana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>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 xml:space="preserve">1) ustawą z dnia 11 września 2019 r. Prawo zamówień publicznych (dalej: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</w:t>
      </w:r>
      <w:proofErr w:type="spellStart"/>
      <w:r w:rsidRPr="003D3507">
        <w:rPr>
          <w:sz w:val="22"/>
          <w:szCs w:val="22"/>
        </w:rPr>
        <w:t>Jedolitym</w:t>
      </w:r>
      <w:proofErr w:type="spellEnd"/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Ograniczenie dostępu do Państwa danych osobowych, o których mowa wyżej wystąpić może jedynie w szczególnych przepadkach jeśli jest to uzasadnione ochroną prywatności lub interesem publicznym zgodnie z art. 18 ust 5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z ustawą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 xml:space="preserve">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7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B441F2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3CDD8A05" w:rsidR="004E1F59" w:rsidRPr="00B441F2" w:rsidRDefault="004218B3" w:rsidP="009F1CE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/-/</w:t>
            </w:r>
            <w:r w:rsidR="009F1CEE" w:rsidRPr="00B441F2">
              <w:rPr>
                <w:rFonts w:eastAsia="Arial Unicode MS"/>
                <w:sz w:val="22"/>
                <w:szCs w:val="22"/>
                <w:lang w:eastAsia="ar-SA"/>
              </w:rPr>
              <w:t>por. Jakub PINKOWSKI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9D3E30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4" w:type="dxa"/>
            <w:vAlign w:val="center"/>
          </w:tcPr>
          <w:p w14:paraId="38958FD6" w14:textId="1AB81116" w:rsidR="009F1CEE" w:rsidRPr="00B441F2" w:rsidRDefault="004218B3" w:rsidP="009F1CEE">
            <w:pPr>
              <w:pStyle w:val="NormalnyWeb"/>
              <w:tabs>
                <w:tab w:val="left" w:pos="284"/>
              </w:tabs>
              <w:spacing w:before="0" w:after="0"/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/-/</w:t>
            </w:r>
            <w:r w:rsidR="009F1CEE" w:rsidRPr="00B441F2">
              <w:rPr>
                <w:rFonts w:ascii="Times New Roman" w:hAnsi="Times New Roman" w:cs="Times New Roman"/>
                <w:sz w:val="22"/>
                <w:szCs w:val="22"/>
              </w:rPr>
              <w:t>kpt. Aleksandra ŁACH</w:t>
            </w:r>
          </w:p>
          <w:p w14:paraId="4CD622F5" w14:textId="72F876B4" w:rsidR="004E1F59" w:rsidRPr="00B441F2" w:rsidRDefault="004E1F59" w:rsidP="00D07A3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9F1CEE">
        <w:trPr>
          <w:trHeight w:val="976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56AF049C" w:rsidR="00C94B9A" w:rsidRPr="00B441F2" w:rsidRDefault="004E2A9D" w:rsidP="0089255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B441F2">
              <w:rPr>
                <w:sz w:val="22"/>
                <w:szCs w:val="22"/>
              </w:rPr>
              <w:t xml:space="preserve">  </w:t>
            </w:r>
            <w:r w:rsidR="004218B3">
              <w:rPr>
                <w:sz w:val="22"/>
                <w:szCs w:val="22"/>
              </w:rPr>
              <w:t>/-/</w:t>
            </w:r>
            <w:r w:rsidRPr="00B441F2">
              <w:rPr>
                <w:sz w:val="22"/>
                <w:szCs w:val="22"/>
              </w:rPr>
              <w:t xml:space="preserve"> </w:t>
            </w:r>
            <w:r w:rsidR="00C94B9A" w:rsidRPr="00B441F2">
              <w:rPr>
                <w:sz w:val="22"/>
                <w:szCs w:val="22"/>
              </w:rPr>
              <w:t>pan</w:t>
            </w:r>
            <w:r w:rsidR="00BB58B1" w:rsidRPr="00B441F2">
              <w:rPr>
                <w:sz w:val="22"/>
                <w:szCs w:val="22"/>
              </w:rPr>
              <w:t xml:space="preserve">i Patrycja </w:t>
            </w:r>
            <w:r w:rsidR="00892559" w:rsidRPr="00B441F2">
              <w:rPr>
                <w:sz w:val="22"/>
                <w:szCs w:val="22"/>
              </w:rPr>
              <w:t>GALEZ</w:t>
            </w:r>
            <w:r w:rsidR="00BB58B1" w:rsidRPr="00B441F2">
              <w:rPr>
                <w:sz w:val="22"/>
                <w:szCs w:val="22"/>
              </w:rPr>
              <w:t xml:space="preserve"> </w:t>
            </w:r>
          </w:p>
        </w:tc>
      </w:tr>
      <w:bookmarkEnd w:id="27"/>
    </w:tbl>
    <w:p w14:paraId="33AF3D55" w14:textId="12247DCF" w:rsidR="001D5DF3" w:rsidRDefault="001D5DF3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1CFB17C9" w14:textId="67CC4C97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3A31D24" w14:textId="43A1B137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D185B3B" w14:textId="1A70AE84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FE3CDC0" w14:textId="115929C0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4A36CEA" w14:textId="2C960F65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13D96CFC" w14:textId="1736CA7A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C027660" w14:textId="7584025C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45B7A2E" w14:textId="246B332B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3F96C725" w14:textId="1662BE12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5227408" w14:textId="75CA3949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A049250" w14:textId="4C6DFD60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329E1E72" w14:textId="7702DBB2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43B3252A" w14:textId="4AA58C81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4C0C1F4F" w14:textId="0819E980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01F6F149" w14:textId="715490E8" w:rsidR="004B431E" w:rsidRPr="003D3507" w:rsidRDefault="004B431E" w:rsidP="00EB07EB">
      <w:pPr>
        <w:autoSpaceDE w:val="0"/>
        <w:autoSpaceDN w:val="0"/>
        <w:adjustRightInd w:val="0"/>
        <w:spacing w:after="0"/>
        <w:ind w:left="0" w:firstLine="0"/>
        <w:rPr>
          <w:b/>
          <w:sz w:val="22"/>
          <w:szCs w:val="22"/>
        </w:rPr>
      </w:pPr>
    </w:p>
    <w:sectPr w:rsidR="004B431E" w:rsidRPr="003D3507" w:rsidSect="00A24B9D">
      <w:footerReference w:type="default" r:id="rId18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1B8C" w14:textId="77777777" w:rsidR="00AB6914" w:rsidRDefault="00AB6914">
      <w:pPr>
        <w:spacing w:after="0"/>
      </w:pPr>
      <w:r>
        <w:separator/>
      </w:r>
    </w:p>
  </w:endnote>
  <w:endnote w:type="continuationSeparator" w:id="0">
    <w:p w14:paraId="4E2DDAB8" w14:textId="77777777" w:rsidR="00AB6914" w:rsidRDefault="00AB6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1DF08FDC" w:rsidR="00481A00" w:rsidRPr="00EF0CE1" w:rsidRDefault="00481A00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C75F" w14:textId="77777777" w:rsidR="00AB6914" w:rsidRDefault="00AB6914">
      <w:pPr>
        <w:spacing w:after="0"/>
      </w:pPr>
      <w:r>
        <w:separator/>
      </w:r>
    </w:p>
  </w:footnote>
  <w:footnote w:type="continuationSeparator" w:id="0">
    <w:p w14:paraId="72F88EA8" w14:textId="77777777" w:rsidR="00AB6914" w:rsidRDefault="00AB6914">
      <w:pPr>
        <w:spacing w:after="0"/>
      </w:pPr>
      <w:r>
        <w:continuationSeparator/>
      </w:r>
    </w:p>
  </w:footnote>
  <w:footnote w:id="1">
    <w:p w14:paraId="4B040935" w14:textId="77777777" w:rsidR="00481A00" w:rsidRPr="006B27F5" w:rsidRDefault="00481A00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0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3E7B4544"/>
    <w:multiLevelType w:val="multilevel"/>
    <w:tmpl w:val="FAA8A4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7" w15:restartNumberingAfterBreak="0">
    <w:nsid w:val="53547CE4"/>
    <w:multiLevelType w:val="hybridMultilevel"/>
    <w:tmpl w:val="9E300868"/>
    <w:lvl w:ilvl="0" w:tplc="80942C30">
      <w:start w:val="1"/>
      <w:numFmt w:val="decimal"/>
      <w:lvlText w:val="%1."/>
      <w:lvlJc w:val="left"/>
      <w:pPr>
        <w:ind w:left="1768" w:hanging="360"/>
      </w:pPr>
      <w:rPr>
        <w:b w:val="0"/>
        <w:i w:val="0"/>
        <w:color w:val="auto"/>
      </w:rPr>
    </w:lvl>
    <w:lvl w:ilvl="1" w:tplc="B860D4F8">
      <w:start w:val="1"/>
      <w:numFmt w:val="lowerLetter"/>
      <w:lvlText w:val="%2."/>
      <w:lvlJc w:val="left"/>
      <w:pPr>
        <w:ind w:left="2706" w:hanging="360"/>
      </w:pPr>
    </w:lvl>
    <w:lvl w:ilvl="2" w:tplc="A62A081C">
      <w:start w:val="1"/>
      <w:numFmt w:val="lowerRoman"/>
      <w:lvlText w:val="%3."/>
      <w:lvlJc w:val="right"/>
      <w:pPr>
        <w:ind w:left="3426" w:hanging="180"/>
      </w:pPr>
    </w:lvl>
    <w:lvl w:ilvl="3" w:tplc="8C3EAA02">
      <w:start w:val="1"/>
      <w:numFmt w:val="decimal"/>
      <w:lvlText w:val="%4."/>
      <w:lvlJc w:val="left"/>
      <w:pPr>
        <w:ind w:left="4146" w:hanging="360"/>
      </w:pPr>
    </w:lvl>
    <w:lvl w:ilvl="4" w:tplc="C206DE3A">
      <w:start w:val="1"/>
      <w:numFmt w:val="lowerLetter"/>
      <w:lvlText w:val="%5."/>
      <w:lvlJc w:val="left"/>
      <w:pPr>
        <w:ind w:left="4866" w:hanging="360"/>
      </w:pPr>
    </w:lvl>
    <w:lvl w:ilvl="5" w:tplc="E6E0DDF2">
      <w:start w:val="1"/>
      <w:numFmt w:val="lowerRoman"/>
      <w:lvlText w:val="%6."/>
      <w:lvlJc w:val="right"/>
      <w:pPr>
        <w:ind w:left="5586" w:hanging="180"/>
      </w:pPr>
    </w:lvl>
    <w:lvl w:ilvl="6" w:tplc="42BED398">
      <w:start w:val="1"/>
      <w:numFmt w:val="decimal"/>
      <w:lvlText w:val="%7."/>
      <w:lvlJc w:val="left"/>
      <w:pPr>
        <w:ind w:left="6306" w:hanging="360"/>
      </w:pPr>
    </w:lvl>
    <w:lvl w:ilvl="7" w:tplc="0CAEB8D8">
      <w:start w:val="1"/>
      <w:numFmt w:val="lowerLetter"/>
      <w:lvlText w:val="%8."/>
      <w:lvlJc w:val="left"/>
      <w:pPr>
        <w:ind w:left="7026" w:hanging="360"/>
      </w:pPr>
    </w:lvl>
    <w:lvl w:ilvl="8" w:tplc="DC08BDE2">
      <w:start w:val="1"/>
      <w:numFmt w:val="lowerRoman"/>
      <w:lvlText w:val="%9."/>
      <w:lvlJc w:val="right"/>
      <w:pPr>
        <w:ind w:left="7746" w:hanging="180"/>
      </w:pPr>
    </w:lvl>
  </w:abstractNum>
  <w:abstractNum w:abstractNumId="38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9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4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6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042A4"/>
    <w:multiLevelType w:val="hybridMultilevel"/>
    <w:tmpl w:val="F6084FA6"/>
    <w:lvl w:ilvl="0" w:tplc="1934523C">
      <w:start w:val="1"/>
      <w:numFmt w:val="decimal"/>
      <w:lvlText w:val="13.1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0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D2B1DD8"/>
    <w:multiLevelType w:val="hybridMultilevel"/>
    <w:tmpl w:val="161C73AC"/>
    <w:lvl w:ilvl="0" w:tplc="1DC0983A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6"/>
  </w:num>
  <w:num w:numId="3">
    <w:abstractNumId w:val="3"/>
  </w:num>
  <w:num w:numId="4">
    <w:abstractNumId w:val="12"/>
  </w:num>
  <w:num w:numId="5">
    <w:abstractNumId w:val="7"/>
  </w:num>
  <w:num w:numId="6">
    <w:abstractNumId w:val="45"/>
  </w:num>
  <w:num w:numId="7">
    <w:abstractNumId w:val="5"/>
  </w:num>
  <w:num w:numId="8">
    <w:abstractNumId w:val="8"/>
  </w:num>
  <w:num w:numId="9">
    <w:abstractNumId w:val="2"/>
  </w:num>
  <w:num w:numId="10">
    <w:abstractNumId w:val="35"/>
  </w:num>
  <w:num w:numId="11">
    <w:abstractNumId w:val="0"/>
  </w:num>
  <w:num w:numId="12">
    <w:abstractNumId w:val="18"/>
  </w:num>
  <w:num w:numId="13">
    <w:abstractNumId w:val="53"/>
  </w:num>
  <w:num w:numId="14">
    <w:abstractNumId w:val="15"/>
  </w:num>
  <w:num w:numId="15">
    <w:abstractNumId w:val="31"/>
  </w:num>
  <w:num w:numId="16">
    <w:abstractNumId w:val="28"/>
  </w:num>
  <w:num w:numId="17">
    <w:abstractNumId w:val="42"/>
  </w:num>
  <w:num w:numId="18">
    <w:abstractNumId w:val="14"/>
  </w:num>
  <w:num w:numId="19">
    <w:abstractNumId w:val="51"/>
  </w:num>
  <w:num w:numId="20">
    <w:abstractNumId w:val="39"/>
  </w:num>
  <w:num w:numId="21">
    <w:abstractNumId w:val="38"/>
  </w:num>
  <w:num w:numId="22">
    <w:abstractNumId w:val="1"/>
  </w:num>
  <w:num w:numId="23">
    <w:abstractNumId w:val="41"/>
  </w:num>
  <w:num w:numId="24">
    <w:abstractNumId w:val="16"/>
  </w:num>
  <w:num w:numId="25">
    <w:abstractNumId w:val="32"/>
  </w:num>
  <w:num w:numId="26">
    <w:abstractNumId w:val="30"/>
  </w:num>
  <w:num w:numId="27">
    <w:abstractNumId w:val="17"/>
  </w:num>
  <w:num w:numId="28">
    <w:abstractNumId w:val="19"/>
  </w:num>
  <w:num w:numId="29">
    <w:abstractNumId w:val="29"/>
  </w:num>
  <w:num w:numId="30">
    <w:abstractNumId w:val="6"/>
  </w:num>
  <w:num w:numId="31">
    <w:abstractNumId w:val="24"/>
  </w:num>
  <w:num w:numId="32">
    <w:abstractNumId w:val="13"/>
  </w:num>
  <w:num w:numId="33">
    <w:abstractNumId w:val="36"/>
  </w:num>
  <w:num w:numId="34">
    <w:abstractNumId w:val="25"/>
  </w:num>
  <w:num w:numId="35">
    <w:abstractNumId w:val="4"/>
  </w:num>
  <w:num w:numId="36">
    <w:abstractNumId w:val="34"/>
  </w:num>
  <w:num w:numId="37">
    <w:abstractNumId w:val="9"/>
  </w:num>
  <w:num w:numId="38">
    <w:abstractNumId w:val="50"/>
  </w:num>
  <w:num w:numId="39">
    <w:abstractNumId w:val="44"/>
  </w:num>
  <w:num w:numId="40">
    <w:abstractNumId w:val="43"/>
  </w:num>
  <w:num w:numId="41">
    <w:abstractNumId w:val="48"/>
  </w:num>
  <w:num w:numId="42">
    <w:abstractNumId w:val="54"/>
  </w:num>
  <w:num w:numId="43">
    <w:abstractNumId w:val="20"/>
  </w:num>
  <w:num w:numId="44">
    <w:abstractNumId w:val="11"/>
  </w:num>
  <w:num w:numId="45">
    <w:abstractNumId w:val="40"/>
  </w:num>
  <w:num w:numId="46">
    <w:abstractNumId w:val="47"/>
  </w:num>
  <w:num w:numId="47">
    <w:abstractNumId w:val="23"/>
  </w:num>
  <w:num w:numId="48">
    <w:abstractNumId w:val="22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33"/>
  </w:num>
  <w:num w:numId="53">
    <w:abstractNumId w:val="21"/>
  </w:num>
  <w:num w:numId="54">
    <w:abstractNumId w:val="27"/>
  </w:num>
  <w:num w:numId="55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5A73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29F"/>
    <w:rsid w:val="00072571"/>
    <w:rsid w:val="00073412"/>
    <w:rsid w:val="00073C95"/>
    <w:rsid w:val="000760A6"/>
    <w:rsid w:val="0007628C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293D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5EF5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499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E7C22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2A4D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2A93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3F0"/>
    <w:rsid w:val="002B644C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42B8"/>
    <w:rsid w:val="002D6002"/>
    <w:rsid w:val="002D6424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B57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4B9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46DA"/>
    <w:rsid w:val="004169A7"/>
    <w:rsid w:val="00417AD3"/>
    <w:rsid w:val="00417BB5"/>
    <w:rsid w:val="004218B3"/>
    <w:rsid w:val="004233B5"/>
    <w:rsid w:val="00424EAA"/>
    <w:rsid w:val="0042511F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5C1B"/>
    <w:rsid w:val="00466CE6"/>
    <w:rsid w:val="00470120"/>
    <w:rsid w:val="00470768"/>
    <w:rsid w:val="00474044"/>
    <w:rsid w:val="00474AC7"/>
    <w:rsid w:val="00474E91"/>
    <w:rsid w:val="004766B7"/>
    <w:rsid w:val="00480678"/>
    <w:rsid w:val="00481A00"/>
    <w:rsid w:val="00482362"/>
    <w:rsid w:val="004841E8"/>
    <w:rsid w:val="00484F06"/>
    <w:rsid w:val="004911D1"/>
    <w:rsid w:val="004975EF"/>
    <w:rsid w:val="004A4A7D"/>
    <w:rsid w:val="004A5E81"/>
    <w:rsid w:val="004A6842"/>
    <w:rsid w:val="004B3FCC"/>
    <w:rsid w:val="004B431E"/>
    <w:rsid w:val="004B4D60"/>
    <w:rsid w:val="004B6320"/>
    <w:rsid w:val="004B6DB9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5D6D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04E7"/>
    <w:rsid w:val="005D1535"/>
    <w:rsid w:val="005D3504"/>
    <w:rsid w:val="005D6219"/>
    <w:rsid w:val="005D675E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3E7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4D6E"/>
    <w:rsid w:val="00687F75"/>
    <w:rsid w:val="006902EF"/>
    <w:rsid w:val="00691DAB"/>
    <w:rsid w:val="00693A08"/>
    <w:rsid w:val="006A2017"/>
    <w:rsid w:val="006A2677"/>
    <w:rsid w:val="006A3CF7"/>
    <w:rsid w:val="006A5097"/>
    <w:rsid w:val="006A734F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26FFE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58F1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C64AA"/>
    <w:rsid w:val="007C653A"/>
    <w:rsid w:val="007D0297"/>
    <w:rsid w:val="007D3C32"/>
    <w:rsid w:val="007D44A6"/>
    <w:rsid w:val="007D58FD"/>
    <w:rsid w:val="007E0D80"/>
    <w:rsid w:val="007F24C1"/>
    <w:rsid w:val="007F5F80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269F3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5A6E"/>
    <w:rsid w:val="008465F3"/>
    <w:rsid w:val="0084703A"/>
    <w:rsid w:val="008502C3"/>
    <w:rsid w:val="0085469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18B"/>
    <w:rsid w:val="00892559"/>
    <w:rsid w:val="008926A2"/>
    <w:rsid w:val="00893AFC"/>
    <w:rsid w:val="008950F9"/>
    <w:rsid w:val="00895DC1"/>
    <w:rsid w:val="008A38A6"/>
    <w:rsid w:val="008A4859"/>
    <w:rsid w:val="008A4DCF"/>
    <w:rsid w:val="008A50AA"/>
    <w:rsid w:val="008A6803"/>
    <w:rsid w:val="008A71F2"/>
    <w:rsid w:val="008A7F7A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7F4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42E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412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85B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3E30"/>
    <w:rsid w:val="009D6E67"/>
    <w:rsid w:val="009E1F1F"/>
    <w:rsid w:val="009E6DC5"/>
    <w:rsid w:val="009F050B"/>
    <w:rsid w:val="009F0AA6"/>
    <w:rsid w:val="009F1CEE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37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CD4"/>
    <w:rsid w:val="00A9710C"/>
    <w:rsid w:val="00AA3B98"/>
    <w:rsid w:val="00AA544D"/>
    <w:rsid w:val="00AA663B"/>
    <w:rsid w:val="00AB3192"/>
    <w:rsid w:val="00AB4837"/>
    <w:rsid w:val="00AB6914"/>
    <w:rsid w:val="00AC0357"/>
    <w:rsid w:val="00AC06F0"/>
    <w:rsid w:val="00AC1416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E7231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338"/>
    <w:rsid w:val="00B3066D"/>
    <w:rsid w:val="00B32BF5"/>
    <w:rsid w:val="00B33751"/>
    <w:rsid w:val="00B40007"/>
    <w:rsid w:val="00B40136"/>
    <w:rsid w:val="00B4324F"/>
    <w:rsid w:val="00B434F2"/>
    <w:rsid w:val="00B441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D75"/>
    <w:rsid w:val="00BB4BA0"/>
    <w:rsid w:val="00BB58B1"/>
    <w:rsid w:val="00BB6D9B"/>
    <w:rsid w:val="00BB6DDD"/>
    <w:rsid w:val="00BB711F"/>
    <w:rsid w:val="00BC0F2E"/>
    <w:rsid w:val="00BC4260"/>
    <w:rsid w:val="00BC6253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6043"/>
    <w:rsid w:val="00C40E42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1F37"/>
    <w:rsid w:val="00C76507"/>
    <w:rsid w:val="00C8161D"/>
    <w:rsid w:val="00C83186"/>
    <w:rsid w:val="00C8335D"/>
    <w:rsid w:val="00C83CC2"/>
    <w:rsid w:val="00C8442B"/>
    <w:rsid w:val="00C853D4"/>
    <w:rsid w:val="00C8674E"/>
    <w:rsid w:val="00C86A11"/>
    <w:rsid w:val="00C87F17"/>
    <w:rsid w:val="00C90629"/>
    <w:rsid w:val="00C913F4"/>
    <w:rsid w:val="00C913F7"/>
    <w:rsid w:val="00C9278C"/>
    <w:rsid w:val="00C93E86"/>
    <w:rsid w:val="00C948B0"/>
    <w:rsid w:val="00C94B9A"/>
    <w:rsid w:val="00C960F2"/>
    <w:rsid w:val="00C97821"/>
    <w:rsid w:val="00CA13A9"/>
    <w:rsid w:val="00CA2453"/>
    <w:rsid w:val="00CA3510"/>
    <w:rsid w:val="00CA4138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07A33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5988"/>
    <w:rsid w:val="00E465DF"/>
    <w:rsid w:val="00E513AD"/>
    <w:rsid w:val="00E51453"/>
    <w:rsid w:val="00E527BB"/>
    <w:rsid w:val="00E536CC"/>
    <w:rsid w:val="00E53C05"/>
    <w:rsid w:val="00E578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6069"/>
    <w:rsid w:val="00E97AEF"/>
    <w:rsid w:val="00EA02B5"/>
    <w:rsid w:val="00EA106F"/>
    <w:rsid w:val="00EA113F"/>
    <w:rsid w:val="00EA24E7"/>
    <w:rsid w:val="00EA259E"/>
    <w:rsid w:val="00EA25A6"/>
    <w:rsid w:val="00EA5997"/>
    <w:rsid w:val="00EB07EB"/>
    <w:rsid w:val="00EB415C"/>
    <w:rsid w:val="00EB5A12"/>
    <w:rsid w:val="00EB666D"/>
    <w:rsid w:val="00EB7B82"/>
    <w:rsid w:val="00EC0DE1"/>
    <w:rsid w:val="00EC357E"/>
    <w:rsid w:val="00EC4458"/>
    <w:rsid w:val="00ED2669"/>
    <w:rsid w:val="00ED2D46"/>
    <w:rsid w:val="00ED3620"/>
    <w:rsid w:val="00ED3CCC"/>
    <w:rsid w:val="00ED4218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EF683F"/>
    <w:rsid w:val="00F029CF"/>
    <w:rsid w:val="00F04D28"/>
    <w:rsid w:val="00F06E34"/>
    <w:rsid w:val="00F06EB0"/>
    <w:rsid w:val="00F1024A"/>
    <w:rsid w:val="00F1189D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47B1F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2DFC"/>
    <w:rsid w:val="00FB3A14"/>
    <w:rsid w:val="00FB4123"/>
    <w:rsid w:val="00FB4E60"/>
    <w:rsid w:val="00FC4458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32159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0C2C-B486-4340-9B43-8C456259DF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CA6C3B-1F42-4686-9869-3776B828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23</Pages>
  <Words>9358</Words>
  <Characters>56153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65381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51</cp:revision>
  <cp:lastPrinted>2025-04-02T08:44:00Z</cp:lastPrinted>
  <dcterms:created xsi:type="dcterms:W3CDTF">2024-12-04T14:00:00Z</dcterms:created>
  <dcterms:modified xsi:type="dcterms:W3CDTF">2025-04-04T07:53:00Z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