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CA07F" w14:textId="432B2C8C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D779B">
        <w:t>2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ED44CBE" w14:textId="5FB5A6EC" w:rsidR="00E0493F" w:rsidRDefault="00E0493F" w:rsidP="00E0493F">
      <w:pPr>
        <w:spacing w:line="480" w:lineRule="auto"/>
        <w:jc w:val="center"/>
        <w:rPr>
          <w:b/>
          <w:i/>
          <w:szCs w:val="20"/>
        </w:rPr>
      </w:pPr>
      <w:bookmarkStart w:id="0" w:name="_Hlk158827901"/>
      <w:r w:rsidRPr="00120465">
        <w:rPr>
          <w:b/>
          <w:i/>
          <w:szCs w:val="20"/>
        </w:rPr>
        <w:t xml:space="preserve">Usługi ubezpieczenia na rzecz Gminy </w:t>
      </w:r>
      <w:r>
        <w:rPr>
          <w:b/>
          <w:i/>
          <w:szCs w:val="20"/>
        </w:rPr>
        <w:t>Górno</w:t>
      </w:r>
      <w:r w:rsidRPr="00120465">
        <w:rPr>
          <w:b/>
          <w:i/>
          <w:szCs w:val="20"/>
        </w:rPr>
        <w:t xml:space="preserve"> oraz podległych jednostek organizacyjnych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w zakresie ubezpieczeń majątkowych</w:t>
      </w:r>
      <w:r>
        <w:rPr>
          <w:b/>
          <w:i/>
          <w:szCs w:val="20"/>
        </w:rPr>
        <w:t xml:space="preserve"> i </w:t>
      </w:r>
      <w:r w:rsidRPr="00120465">
        <w:rPr>
          <w:b/>
          <w:i/>
          <w:szCs w:val="20"/>
        </w:rPr>
        <w:t>odpowiedzialności cywilnej</w:t>
      </w:r>
      <w:r>
        <w:rPr>
          <w:b/>
          <w:i/>
          <w:szCs w:val="20"/>
        </w:rPr>
        <w:t>.</w:t>
      </w:r>
      <w:bookmarkEnd w:id="0"/>
    </w:p>
    <w:p w14:paraId="1B243A40" w14:textId="77777777" w:rsidR="00E0493F" w:rsidRPr="00E0493F" w:rsidRDefault="00E0493F" w:rsidP="00E0493F">
      <w:pPr>
        <w:spacing w:line="480" w:lineRule="auto"/>
        <w:jc w:val="center"/>
        <w:rPr>
          <w:b/>
          <w:i/>
          <w:szCs w:val="20"/>
        </w:rPr>
      </w:pPr>
    </w:p>
    <w:p w14:paraId="320B57BD" w14:textId="5197977D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</w:t>
      </w:r>
      <w:r w:rsidR="00E0493F">
        <w:rPr>
          <w:rFonts w:ascii="Arial" w:hAnsi="Arial" w:cs="Arial"/>
          <w:sz w:val="20"/>
          <w:szCs w:val="20"/>
          <w:u w:val="single"/>
        </w:rPr>
        <w:t>: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3D6F25B1" w14:textId="43B35383" w:rsidR="009D779B" w:rsidRDefault="00E0493F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Cs w:val="20"/>
                <w:lang w:eastAsia="pl-PL"/>
              </w:rPr>
            </w:pPr>
            <w:r w:rsidRPr="00E0493F">
              <w:rPr>
                <w:rFonts w:cs="Arial"/>
                <w:b/>
                <w:szCs w:val="20"/>
                <w:lang w:eastAsia="pl-PL"/>
              </w:rPr>
              <w:t xml:space="preserve">Część nr I – Ubezpieczenie mienia od wszystkich </w:t>
            </w:r>
            <w:proofErr w:type="spellStart"/>
            <w:r w:rsidRPr="00E0493F">
              <w:rPr>
                <w:rFonts w:cs="Arial"/>
                <w:b/>
                <w:szCs w:val="20"/>
                <w:lang w:eastAsia="pl-PL"/>
              </w:rPr>
              <w:t>ryzyk</w:t>
            </w:r>
            <w:proofErr w:type="spellEnd"/>
            <w:r w:rsidRPr="00E0493F">
              <w:rPr>
                <w:rFonts w:cs="Arial"/>
                <w:b/>
                <w:szCs w:val="20"/>
                <w:lang w:eastAsia="pl-PL"/>
              </w:rPr>
              <w:t>, ubezpieczenie sprzętu elektronicznego</w:t>
            </w:r>
          </w:p>
          <w:p w14:paraId="1426792C" w14:textId="77777777" w:rsidR="00E0493F" w:rsidRPr="00E0493F" w:rsidRDefault="00E0493F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Cs w:val="20"/>
                <w:lang w:eastAsia="pl-PL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50E74152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>usługa zwolniona z podatku VAT zgodnie z art. 43 ust. 1 pkt 37 ustawy z dnia 11 marca 2004 o podatku od towarów i usług</w:t>
            </w:r>
            <w:r w:rsidR="00B64550">
              <w:rPr>
                <w:rFonts w:cs="Arial"/>
                <w:i/>
                <w:sz w:val="16"/>
                <w:szCs w:val="18"/>
              </w:rPr>
              <w:t>]</w:t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5C51B384" w:rsidR="009D779B" w:rsidRPr="00E0493F" w:rsidRDefault="00E0493F" w:rsidP="009D779B">
            <w:pPr>
              <w:widowControl w:val="0"/>
              <w:spacing w:after="120" w:line="240" w:lineRule="auto"/>
              <w:rPr>
                <w:rFonts w:cs="Arial"/>
                <w:sz w:val="18"/>
                <w:szCs w:val="18"/>
              </w:rPr>
            </w:pPr>
            <w:bookmarkStart w:id="1" w:name="_Hlk138090735"/>
            <w:r w:rsidRPr="00E0493F">
              <w:rPr>
                <w:rFonts w:eastAsiaTheme="minorEastAsia"/>
                <w:szCs w:val="20"/>
              </w:rPr>
              <w:t>Klauzula katastrofy budowlanej – zwiększenie limitu do 10 000 000 zł.</w:t>
            </w:r>
            <w:bookmarkEnd w:id="1"/>
            <w:r w:rsidRPr="00E0493F">
              <w:rPr>
                <w:rFonts w:eastAsiaTheme="minorEastAsia"/>
                <w:szCs w:val="20"/>
              </w:rPr>
              <w:t xml:space="preserve"> Limit odpowiedzialności z Klauzuli katastrofy budowlanej (pkt 1</w:t>
            </w:r>
            <w:r w:rsidR="0089265E">
              <w:rPr>
                <w:rFonts w:eastAsiaTheme="minorEastAsia"/>
                <w:szCs w:val="20"/>
              </w:rPr>
              <w:t>4</w:t>
            </w:r>
            <w:r w:rsidRPr="00E0493F">
              <w:rPr>
                <w:rFonts w:eastAsiaTheme="minorEastAsia"/>
                <w:szCs w:val="20"/>
              </w:rPr>
              <w:t>.2</w:t>
            </w:r>
            <w:r w:rsidR="0089265E">
              <w:rPr>
                <w:rFonts w:eastAsiaTheme="minorEastAsia"/>
                <w:szCs w:val="20"/>
              </w:rPr>
              <w:t>9</w:t>
            </w:r>
            <w:r w:rsidRPr="00E0493F">
              <w:rPr>
                <w:rFonts w:eastAsiaTheme="minorEastAsia"/>
                <w:szCs w:val="20"/>
              </w:rPr>
              <w:t xml:space="preserve"> OPZ) podwyższa się do </w:t>
            </w:r>
            <w:r w:rsidRPr="00E0493F">
              <w:rPr>
                <w:rFonts w:eastAsiaTheme="minorEastAsia"/>
                <w:szCs w:val="20"/>
                <w:u w:val="single"/>
              </w:rPr>
              <w:t>10 000 000,00 zł.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548077DD" w:rsidR="009D779B" w:rsidRPr="00E0493F" w:rsidRDefault="00E0493F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>Błędy i przeoczenia. Ubezpieczyciel ponosi odpowiedzialność za szkody powstałe w ubezpieczonym mieniu powstałe na skutek zrealizowania się zdarzenia objętego pokryciem ubezpieczeniowym pomimo, że Ubezpieczający nie dopełnił obowiązku zgłoszenia wszelkich zmian i okoliczności powodujących wzrost ryzyka ubezpieczeniowego pod warunkiem, że działanie to nie nosi znamion działania umyślnego.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1FBDBFB3" w:rsidR="009D779B" w:rsidRPr="00E0493F" w:rsidRDefault="00E0493F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 xml:space="preserve">Ochrona w przypadku niedopełnienia obowiązków. Jeżeli ubezpieczający nie dopełnił obowiązków określonych w umowie ubezpieczenia, a ich niedopełnienie miało wpływ na powstanie szkody lub jej rozmiar, ubezpieczyciel może odmówić wypłaty odszkodowania w całości lub części tylko w wypadku, </w:t>
            </w:r>
            <w:r w:rsidRPr="00E0493F">
              <w:rPr>
                <w:rFonts w:eastAsiaTheme="minorEastAsia"/>
                <w:szCs w:val="20"/>
              </w:rPr>
              <w:lastRenderedPageBreak/>
              <w:t>kiedy niedopełnienie obowiązku było wynikiem winy umyślnej reprezentantów</w:t>
            </w:r>
          </w:p>
        </w:tc>
        <w:tc>
          <w:tcPr>
            <w:tcW w:w="2442" w:type="dxa"/>
            <w:vAlign w:val="center"/>
          </w:tcPr>
          <w:p w14:paraId="5C438493" w14:textId="2838424B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2967E9CB" w14:textId="77777777" w:rsidTr="009D779B">
        <w:tc>
          <w:tcPr>
            <w:tcW w:w="4885" w:type="dxa"/>
            <w:vAlign w:val="center"/>
          </w:tcPr>
          <w:p w14:paraId="6923EEE6" w14:textId="0DAE270D" w:rsidR="009D779B" w:rsidRPr="00E0493F" w:rsidRDefault="00E0493F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>Obowiązek zgłaszania zmian. Ubezpieczający w czasie trwania umowy ubezpieczenia nie ma obowiązku zgłaszania zmian okoliczności, o które Ubezpieczyciel zapytywał w formularzu oferty albo przed zawarciem umowy ubezpieczenia w innych pismach</w:t>
            </w:r>
          </w:p>
        </w:tc>
        <w:tc>
          <w:tcPr>
            <w:tcW w:w="2442" w:type="dxa"/>
            <w:vAlign w:val="center"/>
          </w:tcPr>
          <w:p w14:paraId="2290D81B" w14:textId="039F2FB8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9BF4286" w14:textId="0CF654FA" w:rsidR="009D779B" w:rsidRPr="00B64550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4C0CFD2E" w14:textId="230336DF" w:rsidR="00EF16FE" w:rsidRDefault="00E0493F" w:rsidP="00E0493F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E0493F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Część nr II – Ubezpieczenie odpowiedzialności cywilnej z tytułu prowadzenia działalności i posiadania mienia</w:t>
            </w:r>
          </w:p>
          <w:p w14:paraId="7CCE5584" w14:textId="77777777" w:rsidR="00E0493F" w:rsidRPr="00EF16FE" w:rsidRDefault="00E0493F" w:rsidP="00E0493F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53487880" w:rsidR="00EF16FE" w:rsidRPr="009D779B" w:rsidRDefault="00EF16FE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>usługa zwolniona z podatku VAT zgodnie z art. 43 ust. 1 pkt 37 ustawy z dnia 11 marca 2004 o podatku od towarów i usług]</w:t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416330EA" w:rsidR="00EF16FE" w:rsidRPr="00E0493F" w:rsidRDefault="00E0493F" w:rsidP="00484EE5">
            <w:pPr>
              <w:widowControl w:val="0"/>
              <w:spacing w:after="120" w:line="240" w:lineRule="auto"/>
              <w:rPr>
                <w:rFonts w:cs="Arial"/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 xml:space="preserve">Klauzula odtworzenia sumy gwarancyjnej - Niniejszym postanowieniem strony uzgadniają, że suma ubezpieczenia/gwarancyjna/limit odpowiedzialności będzie odtworzony na wniosek Zamawiającego w przypadku szkody do maksymalnej wysokości 100% limitów wyznaczonych w wymaganych warunkach ubezpieczenia. </w:t>
            </w:r>
            <w:r w:rsidRPr="00E0493F">
              <w:rPr>
                <w:rFonts w:eastAsiaTheme="minorEastAsia" w:cstheme="minorHAnsi"/>
                <w:szCs w:val="20"/>
              </w:rPr>
              <w:t xml:space="preserve">Klauzula dotyczy jednokrotnego odtworzenia </w:t>
            </w:r>
            <w:r w:rsidRPr="00E0493F">
              <w:rPr>
                <w:rFonts w:cstheme="minorHAnsi"/>
                <w:szCs w:val="20"/>
              </w:rPr>
              <w:t>sumy gwarancyjnej/limitów odpowiedzialności.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B64550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B64550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3D305940" w:rsidR="00EF16FE" w:rsidRPr="00E0493F" w:rsidRDefault="00E0493F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E0493F">
              <w:rPr>
                <w:rFonts w:eastAsiaTheme="minorEastAsia"/>
                <w:szCs w:val="20"/>
              </w:rPr>
              <w:t>Klauzula zwiększenia sumy gwarancyjnej o 50% - Niniejszym postanowieniem strony uzgadniają, że suma gwarancyjna/limit odpowiedzialności zwiększa się 50%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Pr="00B64550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Pr="00B64550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64550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lastRenderedPageBreak/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D779B">
      <w:footerReference w:type="default" r:id="rId8"/>
      <w:headerReference w:type="first" r:id="rId9"/>
      <w:footerReference w:type="first" r:id="rId10"/>
      <w:pgSz w:w="11907" w:h="16840" w:code="9"/>
      <w:pgMar w:top="1043" w:right="1134" w:bottom="993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FC3F" w14:textId="59F3578D" w:rsidR="00884FAE" w:rsidRPr="00B64550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i/>
        <w:iCs/>
        <w:color w:val="auto"/>
        <w:sz w:val="18"/>
        <w:szCs w:val="18"/>
        <w:lang w:eastAsia="pl-PL"/>
      </w:rPr>
    </w:pPr>
    <w:r w:rsidRPr="00B64550">
      <w:rPr>
        <w:rFonts w:cs="Arial"/>
        <w:i/>
        <w:iCs/>
        <w:color w:val="auto"/>
        <w:sz w:val="18"/>
        <w:szCs w:val="18"/>
        <w:lang w:eastAsia="pl-PL"/>
      </w:rPr>
      <w:t>Nr referencyjny postępowania: STBU/ZP/FJ/1/II/202</w:t>
    </w:r>
    <w:r w:rsidR="00B64550" w:rsidRPr="00B64550">
      <w:rPr>
        <w:rFonts w:cs="Arial"/>
        <w:i/>
        <w:iCs/>
        <w:color w:val="auto"/>
        <w:sz w:val="18"/>
        <w:szCs w:val="18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5CCF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C27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0E3A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A4F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97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265E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50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493F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838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32</cp:revision>
  <cp:lastPrinted>2020-08-06T13:15:00Z</cp:lastPrinted>
  <dcterms:created xsi:type="dcterms:W3CDTF">2021-05-11T08:38:00Z</dcterms:created>
  <dcterms:modified xsi:type="dcterms:W3CDTF">2025-02-14T15:05:00Z</dcterms:modified>
</cp:coreProperties>
</file>