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5D460" w14:textId="2C7D6CAF" w:rsidR="00F561E7" w:rsidRDefault="00F561E7" w:rsidP="00F561E7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D71CBEB" w14:textId="77777777" w:rsidR="00F561E7" w:rsidRDefault="00F561E7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3D6C5DBF" w14:textId="27C14B48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54BF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17D839D6" w14:textId="1374BDE9" w:rsidR="00E500F4" w:rsidRPr="002B2D52" w:rsidRDefault="00D64FC4" w:rsidP="00E500F4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33116">
        <w:rPr>
          <w:rFonts w:ascii="Arial" w:hAnsi="Arial" w:cs="Arial"/>
          <w:b/>
          <w:sz w:val="20"/>
          <w:szCs w:val="20"/>
          <w:lang w:eastAsia="en-US"/>
        </w:rPr>
        <w:t>BZP</w:t>
      </w:r>
      <w:r w:rsidR="00E500F4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833116">
        <w:rPr>
          <w:rFonts w:ascii="Arial" w:hAnsi="Arial" w:cs="Arial"/>
          <w:b/>
          <w:sz w:val="20"/>
          <w:szCs w:val="20"/>
          <w:lang w:eastAsia="en-US"/>
        </w:rPr>
        <w:t>9</w:t>
      </w:r>
      <w:r w:rsidR="00A714C9">
        <w:rPr>
          <w:rFonts w:ascii="Arial" w:hAnsi="Arial" w:cs="Arial"/>
          <w:b/>
          <w:sz w:val="20"/>
          <w:szCs w:val="20"/>
          <w:lang w:eastAsia="en-US"/>
        </w:rPr>
        <w:t>.202</w:t>
      </w:r>
      <w:r w:rsidR="00833116">
        <w:rPr>
          <w:rFonts w:ascii="Arial" w:hAnsi="Arial" w:cs="Arial"/>
          <w:b/>
          <w:sz w:val="20"/>
          <w:szCs w:val="20"/>
          <w:lang w:eastAsia="en-US"/>
        </w:rPr>
        <w:t>5</w:t>
      </w:r>
      <w:r w:rsidR="00E500F4" w:rsidRPr="00D76261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E500F4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D76261" w:rsidRPr="00D76261">
        <w:rPr>
          <w:rFonts w:ascii="Arial" w:hAnsi="Arial" w:cs="Arial"/>
          <w:b/>
          <w:sz w:val="20"/>
          <w:szCs w:val="20"/>
          <w:lang w:eastAsia="en-US"/>
        </w:rPr>
        <w:t>Wykonanie oświetlenia ulic na terenie gminy Stare Babice w 202</w:t>
      </w:r>
      <w:r w:rsidR="00833116">
        <w:rPr>
          <w:rFonts w:ascii="Arial" w:hAnsi="Arial" w:cs="Arial"/>
          <w:b/>
          <w:sz w:val="20"/>
          <w:szCs w:val="20"/>
          <w:lang w:eastAsia="en-US"/>
        </w:rPr>
        <w:t>5</w:t>
      </w:r>
      <w:r w:rsidR="00E500F4" w:rsidRPr="002B2D52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2603F294" w14:textId="5D2F7E7D" w:rsidR="00D64FC4" w:rsidRDefault="00D64FC4" w:rsidP="00E500F4">
      <w:pPr>
        <w:widowControl w:val="0"/>
        <w:adjustRightInd w:val="0"/>
        <w:jc w:val="both"/>
        <w:textAlignment w:val="baseline"/>
      </w:pPr>
    </w:p>
    <w:p w14:paraId="4C20C976" w14:textId="64A9AF8D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22A6FE96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wyłącznie </w:t>
      </w:r>
      <w:r w:rsidR="00D762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 przypadku</w:t>
      </w:r>
      <w:r w:rsidRPr="002E49F3">
        <w:rPr>
          <w:rFonts w:ascii="Arial" w:hAnsi="Arial" w:cs="Arial"/>
          <w:sz w:val="20"/>
          <w:szCs w:val="20"/>
          <w:lang w:eastAsia="pl-PL"/>
        </w:rPr>
        <w:t>, kiedy zamierza zastosować urządzenia/materiały inne wobec tych zastosowanych w opisie przedmiotu zamówienia (dokumentacji projektowej). Dokument ten traktowany będzie jako przedmiotowy środek dowodowy, który zgodnie z art. 107 ust. 2 ustawy pzp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projektowej).</w:t>
      </w:r>
    </w:p>
    <w:p w14:paraId="221F15A1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>, w których przedmiot zamówienia w dokumentacji technicznej (projektowej), na podstawie której będą realizowane roboty budowlane, opisany jest za pomocą norm, aprobat, specyfikacji technicznych i systemów odniesienia, nazw własnych, patentów lub pochodzenia, źródła lub szczególnego procesu, który charakteryzuje produkty lub usługi dostarczane przez konkretnego Wykonawcę/Dostawcę, o których mowa w art. 101 ust 4 ustawy Pzp, Zamawiający dopuszcza rozwiązania równoważne opisywanym. Zamawiający zaleca, aby traktować takie wskazania, jako przykładowe i dopuszcza zastosowanie przy realizacji zamówienia w odniesieniu do materiałów, urządzeń, robót rozwiązań równoważnych, pod warunkiem, że zagwarantują one uzyskanie parametrów technicznych, funkcjonalnych i eksploatacyjnych nie gorszych od założonych w dokumentacji projektowej.</w:t>
      </w:r>
    </w:p>
    <w:p w14:paraId="1D8D8454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 xml:space="preserve">Wykonawca, który powołuje się na rozwiązania równoważne opisywanym przez Zamawiającego, jest obowiązany wykazać, że oferowane przez niego dostawy, usługi lub roboty budowlane 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– Materiały i urządzenia równoważne. W dokumencie musi wykazać, że zaproponowane urządzenia/materiały spełniają kryteria stosowane w celu oceny równoważności, tj.:</w:t>
      </w:r>
    </w:p>
    <w:p w14:paraId="591A3EE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spełniają minimalne parametry określone w opisie przedmiotu zamówienia (dokumentacji projektowej);</w:t>
      </w:r>
    </w:p>
    <w:p w14:paraId="6B13A973" w14:textId="77777777" w:rsidR="00E500F4" w:rsidRPr="00AB62C7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AB62C7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posiadają dokumenty określone w ust. 1 powyżej</w:t>
      </w:r>
      <w:r w:rsidRPr="00AB62C7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14:paraId="6C5898CF" w14:textId="77777777" w:rsidR="00E500F4" w:rsidRPr="00F13835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3835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mogą być użyte w przedmiocie zamówienia; </w:t>
      </w:r>
    </w:p>
    <w:p w14:paraId="1DEB3D1B" w14:textId="77777777" w:rsidR="00E500F4" w:rsidRPr="00F13835" w:rsidRDefault="00E500F4" w:rsidP="00E500F4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3835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 będą mogły być użyte w istniejących instalacjach/systemach oraz będą współpracowały z istniejącymi instalacjami/urządzeniami;</w:t>
      </w:r>
    </w:p>
    <w:p w14:paraId="4BFC357E" w14:textId="45DDA5A5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- zaproponowane przez Wykonawcę urządzenia/materiały zostaną poddane ocenie pod kątem spełnienia powyższych kryteriów a także pod kątem ich funkcjonowania w całości obiektu stanowiącego przedmiot zamówienia. Ocena spełnienia powyższych kryteriów dokonana zostanie przez Zamawiającego oraz projektantów poszczególnych branż (autorów projektu) w zależności od zaproponowanych rozwiązań (urządzeń/materiałów) równoważnych. Zamawiający zaakceptuje równoważne środki dowodowe, jeśli potwierdzą, że oferowane dostawy, usługi lub roboty budowlane spełniają określone przez Zamawiającego wymagania, cechy lub kryteria. W przypadku, kiedy Zamawiający lub projektant uznają, że zaproponowane rozwiązanie (urządzenia/materiały) równoważne nie spełnia wymagań określonych przez Zamawiającego wówczas oferta takiego Wykonawcy podlega odrzuceniu ze względu na to, że jej treść jest niezgodna z warunkami zamówienia – art. 226 ust. 1 pkt 5 ustawy pzp</w:t>
      </w:r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0272E31F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 projekt, w którym materiał/urządzenie jest wymienione)</w:t>
            </w:r>
          </w:p>
        </w:tc>
        <w:tc>
          <w:tcPr>
            <w:tcW w:w="2551" w:type="dxa"/>
            <w:vAlign w:val="center"/>
          </w:tcPr>
          <w:p w14:paraId="4064480E" w14:textId="230FB42A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7AB4D1DA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0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0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3460047">
    <w:abstractNumId w:val="2"/>
  </w:num>
  <w:num w:numId="2" w16cid:durableId="2138140160">
    <w:abstractNumId w:val="0"/>
  </w:num>
  <w:num w:numId="3" w16cid:durableId="2110805969">
    <w:abstractNumId w:val="1"/>
  </w:num>
  <w:num w:numId="4" w16cid:durableId="708456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177781"/>
    <w:rsid w:val="001E4501"/>
    <w:rsid w:val="001F0CD1"/>
    <w:rsid w:val="002351C1"/>
    <w:rsid w:val="002554BF"/>
    <w:rsid w:val="002B2D52"/>
    <w:rsid w:val="002E49F3"/>
    <w:rsid w:val="002F3339"/>
    <w:rsid w:val="00301464"/>
    <w:rsid w:val="00373748"/>
    <w:rsid w:val="00387A83"/>
    <w:rsid w:val="003D4029"/>
    <w:rsid w:val="004D3A57"/>
    <w:rsid w:val="00607D4A"/>
    <w:rsid w:val="006510AD"/>
    <w:rsid w:val="006C3797"/>
    <w:rsid w:val="00767206"/>
    <w:rsid w:val="00833116"/>
    <w:rsid w:val="00945951"/>
    <w:rsid w:val="009D4082"/>
    <w:rsid w:val="00A714C9"/>
    <w:rsid w:val="00AC55C2"/>
    <w:rsid w:val="00AE1D65"/>
    <w:rsid w:val="00B64870"/>
    <w:rsid w:val="00BE3CC4"/>
    <w:rsid w:val="00C64BFD"/>
    <w:rsid w:val="00D21B7E"/>
    <w:rsid w:val="00D540A3"/>
    <w:rsid w:val="00D64FC4"/>
    <w:rsid w:val="00D76261"/>
    <w:rsid w:val="00DD7174"/>
    <w:rsid w:val="00E500F4"/>
    <w:rsid w:val="00F561E7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21</cp:revision>
  <dcterms:created xsi:type="dcterms:W3CDTF">2021-02-19T11:35:00Z</dcterms:created>
  <dcterms:modified xsi:type="dcterms:W3CDTF">2025-01-31T13:08:00Z</dcterms:modified>
</cp:coreProperties>
</file>