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2700" w:rsidRPr="00827DEF" w:rsidRDefault="00AE2700" w:rsidP="006740B7">
      <w:pPr>
        <w:keepNext/>
        <w:suppressAutoHyphens/>
        <w:spacing w:after="0" w:line="240" w:lineRule="auto"/>
        <w:ind w:left="540"/>
        <w:outlineLvl w:val="1"/>
        <w:rPr>
          <w:rFonts w:ascii="Times New Roman" w:eastAsia="Times New Roman" w:hAnsi="Times New Roman" w:cs="Times New Roman"/>
          <w:b/>
          <w:bCs/>
          <w:sz w:val="24"/>
          <w:szCs w:val="24"/>
          <w:lang w:eastAsia="ar-SA"/>
        </w:rPr>
      </w:pPr>
    </w:p>
    <w:p w:rsidR="00AE2700" w:rsidRPr="00827DEF" w:rsidRDefault="00AE2700" w:rsidP="00AE2700">
      <w:pPr>
        <w:keepNext/>
        <w:numPr>
          <w:ilvl w:val="1"/>
          <w:numId w:val="0"/>
        </w:numPr>
        <w:tabs>
          <w:tab w:val="num" w:pos="576"/>
        </w:tabs>
        <w:suppressAutoHyphens/>
        <w:spacing w:after="0" w:line="240" w:lineRule="auto"/>
        <w:ind w:left="540" w:hanging="540"/>
        <w:jc w:val="center"/>
        <w:outlineLvl w:val="1"/>
        <w:rPr>
          <w:rFonts w:ascii="Times New Roman" w:eastAsia="Times New Roman" w:hAnsi="Times New Roman" w:cs="Times New Roman"/>
          <w:b/>
          <w:bCs/>
          <w:sz w:val="24"/>
          <w:szCs w:val="24"/>
          <w:lang w:eastAsia="ar-SA"/>
        </w:rPr>
      </w:pPr>
      <w:r w:rsidRPr="00827DEF">
        <w:rPr>
          <w:rFonts w:ascii="Times New Roman" w:eastAsia="Times New Roman" w:hAnsi="Times New Roman" w:cs="Times New Roman"/>
          <w:b/>
          <w:bCs/>
          <w:sz w:val="24"/>
          <w:szCs w:val="24"/>
          <w:lang w:eastAsia="ar-SA"/>
        </w:rPr>
        <w:t>SZCZEGÓŁOWY OPIS PRZEDMIOTU ZAMÓWIENIA</w:t>
      </w:r>
    </w:p>
    <w:p w:rsidR="000C386E" w:rsidRDefault="00AE2700" w:rsidP="000C386E">
      <w:pPr>
        <w:suppressAutoHyphens/>
        <w:spacing w:after="0" w:line="240" w:lineRule="auto"/>
        <w:jc w:val="center"/>
        <w:rPr>
          <w:rFonts w:ascii="Times New Roman" w:eastAsia="Times New Roman" w:hAnsi="Times New Roman" w:cs="Times New Roman"/>
          <w:b/>
          <w:sz w:val="24"/>
          <w:szCs w:val="24"/>
          <w:lang w:eastAsia="ar-SA"/>
        </w:rPr>
      </w:pPr>
      <w:r w:rsidRPr="00827DEF">
        <w:rPr>
          <w:rFonts w:ascii="Times New Roman" w:eastAsia="Times New Roman" w:hAnsi="Times New Roman" w:cs="Times New Roman"/>
          <w:b/>
          <w:sz w:val="24"/>
          <w:szCs w:val="24"/>
          <w:lang w:eastAsia="ar-SA"/>
        </w:rPr>
        <w:t xml:space="preserve">WYMAGANIA MINIMALNE </w:t>
      </w:r>
    </w:p>
    <w:p w:rsidR="00AE2700" w:rsidRPr="00827DEF" w:rsidRDefault="007536CF" w:rsidP="000C386E">
      <w:pPr>
        <w:suppressAutoHyphens/>
        <w:spacing w:after="0" w:line="240" w:lineRule="auto"/>
        <w:jc w:val="center"/>
        <w:rPr>
          <w:rFonts w:ascii="Times New Roman" w:eastAsia="Times New Roman" w:hAnsi="Times New Roman" w:cs="Times New Roman"/>
          <w:b/>
          <w:sz w:val="24"/>
          <w:szCs w:val="24"/>
          <w:lang w:eastAsia="ar-SA"/>
        </w:rPr>
      </w:pPr>
      <w:r w:rsidRPr="00827DEF">
        <w:rPr>
          <w:rFonts w:ascii="Times New Roman" w:eastAsia="Times New Roman" w:hAnsi="Times New Roman" w:cs="Times New Roman"/>
          <w:b/>
          <w:sz w:val="24"/>
          <w:szCs w:val="24"/>
          <w:lang w:eastAsia="ar-SA"/>
        </w:rPr>
        <w:t xml:space="preserve"> </w:t>
      </w:r>
    </w:p>
    <w:p w:rsidR="00AE2700" w:rsidRPr="00827DEF" w:rsidRDefault="00AE2700" w:rsidP="00AE2700">
      <w:pPr>
        <w:suppressAutoHyphens/>
        <w:spacing w:after="0" w:line="360" w:lineRule="auto"/>
        <w:jc w:val="center"/>
        <w:rPr>
          <w:rFonts w:ascii="Times New Roman" w:eastAsia="Times New Roman" w:hAnsi="Times New Roman" w:cs="Times New Roman"/>
          <w:sz w:val="24"/>
          <w:szCs w:val="24"/>
          <w:lang w:eastAsia="ar-SA"/>
        </w:rPr>
      </w:pPr>
      <w:bookmarkStart w:id="0" w:name="_GoBack"/>
      <w:bookmarkEnd w:id="0"/>
    </w:p>
    <w:tbl>
      <w:tblPr>
        <w:tblpPr w:leftFromText="141" w:rightFromText="141" w:vertAnchor="text" w:tblpY="1"/>
        <w:tblOverlap w:val="never"/>
        <w:tblW w:w="13603" w:type="dxa"/>
        <w:tblLayout w:type="fixed"/>
        <w:tblLook w:val="0000" w:firstRow="0" w:lastRow="0" w:firstColumn="0" w:lastColumn="0" w:noHBand="0" w:noVBand="0"/>
      </w:tblPr>
      <w:tblGrid>
        <w:gridCol w:w="993"/>
        <w:gridCol w:w="11"/>
        <w:gridCol w:w="8914"/>
        <w:gridCol w:w="3685"/>
      </w:tblGrid>
      <w:tr w:rsidR="0015405D" w:rsidRPr="002749D1" w:rsidTr="00753580">
        <w:trPr>
          <w:trHeight w:val="1570"/>
        </w:trPr>
        <w:tc>
          <w:tcPr>
            <w:tcW w:w="10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widowControl w:val="0"/>
              <w:suppressAutoHyphens/>
              <w:spacing w:before="120" w:after="12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bCs/>
                <w:spacing w:val="-1"/>
                <w:lang w:eastAsia="ar-SA"/>
              </w:rPr>
              <w:t>L.p.</w:t>
            </w:r>
          </w:p>
        </w:tc>
        <w:tc>
          <w:tcPr>
            <w:tcW w:w="8914" w:type="dxa"/>
            <w:tcBorders>
              <w:top w:val="single" w:sz="4" w:space="0" w:color="000000"/>
              <w:left w:val="single" w:sz="4" w:space="0" w:color="000000"/>
              <w:bottom w:val="single" w:sz="4" w:space="0" w:color="000000"/>
              <w:right w:val="single" w:sz="4" w:space="0" w:color="auto"/>
            </w:tcBorders>
            <w:shd w:val="clear" w:color="auto" w:fill="auto"/>
            <w:vAlign w:val="center"/>
          </w:tcPr>
          <w:p w:rsidR="0015405D" w:rsidRPr="002749D1" w:rsidRDefault="0015405D" w:rsidP="008762BB">
            <w:pPr>
              <w:widowControl w:val="0"/>
              <w:shd w:val="clear" w:color="auto" w:fill="FFFFFF"/>
              <w:suppressAutoHyphens/>
              <w:spacing w:before="120" w:after="120" w:line="240" w:lineRule="auto"/>
              <w:ind w:right="1309"/>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 xml:space="preserve">Warunki ogólne zamawiającej, wymagania minimalne </w:t>
            </w:r>
          </w:p>
        </w:tc>
        <w:tc>
          <w:tcPr>
            <w:tcW w:w="3685" w:type="dxa"/>
            <w:tcBorders>
              <w:top w:val="single" w:sz="4" w:space="0" w:color="auto"/>
              <w:left w:val="single" w:sz="4" w:space="0" w:color="auto"/>
              <w:bottom w:val="single" w:sz="4" w:space="0" w:color="auto"/>
              <w:right w:val="single" w:sz="4" w:space="0" w:color="auto"/>
            </w:tcBorders>
            <w:vAlign w:val="center"/>
          </w:tcPr>
          <w:p w:rsidR="0015405D" w:rsidRPr="002749D1" w:rsidRDefault="0016585C" w:rsidP="00753580">
            <w:pPr>
              <w:widowControl w:val="0"/>
              <w:shd w:val="clear" w:color="auto" w:fill="FFFFFF"/>
              <w:suppressAutoHyphens/>
              <w:spacing w:before="120" w:after="120" w:line="240" w:lineRule="auto"/>
              <w:jc w:val="center"/>
              <w:rPr>
                <w:rFonts w:ascii="Times New Roman" w:eastAsia="Times New Roman" w:hAnsi="Times New Roman" w:cs="Times New Roman"/>
                <w:b/>
                <w:lang w:eastAsia="ar-SA"/>
              </w:rPr>
            </w:pPr>
            <w:r w:rsidRPr="002749D1">
              <w:rPr>
                <w:rFonts w:ascii="Times New Roman" w:hAnsi="Times New Roman" w:cs="Times New Roman"/>
                <w:b/>
              </w:rPr>
              <w:t>WYPEŁNIA WYKONAWCA PODAJĄC PROPONOWANE ROZWIĄZANIA I PARAMETRY TECHNICZNE ORAZ POTWIERDZAJĄC SPEŁNIENIE WYMAGAŃ</w:t>
            </w:r>
          </w:p>
        </w:tc>
      </w:tr>
      <w:tr w:rsidR="0015405D" w:rsidRPr="002749D1" w:rsidTr="00753580">
        <w:tc>
          <w:tcPr>
            <w:tcW w:w="993" w:type="dxa"/>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r w:rsidRPr="002749D1">
              <w:rPr>
                <w:rFonts w:ascii="Times New Roman" w:eastAsia="Times New Roman" w:hAnsi="Times New Roman" w:cs="Times New Roman"/>
                <w:b/>
                <w:lang w:eastAsia="ar-SA"/>
              </w:rPr>
              <w:t>WYMAGANIA PODSTAWOWE</w:t>
            </w:r>
          </w:p>
        </w:tc>
        <w:tc>
          <w:tcPr>
            <w:tcW w:w="3685" w:type="dxa"/>
            <w:tcBorders>
              <w:top w:val="single" w:sz="4" w:space="0" w:color="auto"/>
              <w:left w:val="single" w:sz="4" w:space="0" w:color="000000"/>
              <w:bottom w:val="single" w:sz="4" w:space="0" w:color="000000"/>
              <w:right w:val="single" w:sz="4" w:space="0" w:color="000000"/>
            </w:tcBorders>
            <w:shd w:val="clear" w:color="auto" w:fill="00B0F0"/>
          </w:tcPr>
          <w:p w:rsidR="0015405D" w:rsidRPr="002749D1" w:rsidRDefault="0015405D" w:rsidP="008762BB">
            <w:pPr>
              <w:suppressAutoHyphens/>
              <w:spacing w:after="0" w:line="240" w:lineRule="auto"/>
              <w:jc w:val="center"/>
              <w:rPr>
                <w:rFonts w:ascii="Times New Roman" w:eastAsia="Times New Roman" w:hAnsi="Times New Roman" w:cs="Times New Roman"/>
                <w:b/>
                <w:lang w:eastAsia="ar-SA"/>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Spektrometr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do możliwości analizy materiałów ciemnych i czarnych bez ryzyka ich zapłonu oraz substancji wysoce fluorescencyjnych</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tabs>
                <w:tab w:val="left" w:pos="1050"/>
              </w:tabs>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System oparty o technologię dwuwiązkowej (dwulaserowej) spektroskopii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wyposażony w dwulaserowy spektrometr (spektroskopia różnicowa z przesuniętym wzbudzeniem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 SERDS - </w:t>
            </w:r>
            <w:r w:rsidRPr="002749D1">
              <w:rPr>
                <w:rStyle w:val="yrbpuc"/>
                <w:rFonts w:ascii="Times New Roman" w:hAnsi="Times New Roman" w:cs="Times New Roman"/>
                <w:shd w:val="clear" w:color="auto" w:fill="FFFFFF"/>
              </w:rPr>
              <w:t> </w:t>
            </w:r>
            <w:proofErr w:type="spellStart"/>
            <w:r w:rsidRPr="002749D1">
              <w:rPr>
                <w:rFonts w:ascii="Times New Roman" w:hAnsi="Times New Roman" w:cs="Times New Roman"/>
              </w:rPr>
              <w:t>Shifted</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excitation</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Raman</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difference</w:t>
            </w:r>
            <w:proofErr w:type="spellEnd"/>
            <w:r w:rsidRPr="002749D1">
              <w:rPr>
                <w:rFonts w:ascii="Times New Roman" w:hAnsi="Times New Roman" w:cs="Times New Roman"/>
              </w:rPr>
              <w:t xml:space="preserve"> </w:t>
            </w:r>
            <w:proofErr w:type="spellStart"/>
            <w:r w:rsidRPr="002749D1">
              <w:rPr>
                <w:rFonts w:ascii="Times New Roman" w:hAnsi="Times New Roman" w:cs="Times New Roman"/>
              </w:rPr>
              <w:t>spectroscopy</w:t>
            </w:r>
            <w:proofErr w:type="spellEnd"/>
            <w:r w:rsidRPr="002749D1">
              <w:rPr>
                <w:rFonts w:ascii="Times New Roman" w:hAnsi="Times New Roman" w:cs="Times New Roman"/>
              </w:rPr>
              <w:t>) w celu usunięcia wpływu fluorescencji i światła otoczenia na pomiar</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0C386E"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 xml:space="preserve">Podręczne urządzenie przeznaczone do zdalnej </w:t>
            </w:r>
            <w:r w:rsidRPr="00B22413">
              <w:rPr>
                <w:rFonts w:ascii="Times New Roman" w:hAnsi="Times New Roman" w:cs="Times New Roman"/>
                <w:color w:val="000000" w:themeColor="text1"/>
              </w:rPr>
              <w:t>detekcji z odległości nie mniejszej niż 30 cm oraz zasięgu co najmniej 150 cm</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F62F99" w:rsidP="00DC1278">
            <w:pPr>
              <w:spacing w:after="0" w:line="240" w:lineRule="auto"/>
              <w:contextualSpacing/>
              <w:jc w:val="center"/>
              <w:rPr>
                <w:rFonts w:ascii="Times New Roman" w:hAnsi="Times New Roman" w:cs="Times New Roman"/>
              </w:rPr>
            </w:pPr>
          </w:p>
          <w:p w:rsidR="002749D1" w:rsidRPr="002749D1" w:rsidRDefault="002749D1"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p w:rsidR="00DB22E1" w:rsidRDefault="00DB22E1" w:rsidP="00DB22E1">
            <w:pPr>
              <w:spacing w:after="0" w:line="240" w:lineRule="auto"/>
              <w:contextualSpacing/>
              <w:rPr>
                <w:rFonts w:ascii="Times New Roman" w:hAnsi="Times New Roman" w:cs="Times New Roman"/>
              </w:rPr>
            </w:pPr>
          </w:p>
          <w:p w:rsidR="00F62F99" w:rsidRPr="002749D1" w:rsidRDefault="00691D21" w:rsidP="00DB22E1">
            <w:pPr>
              <w:spacing w:after="0" w:line="240" w:lineRule="auto"/>
              <w:contextualSpacing/>
              <w:jc w:val="center"/>
              <w:rPr>
                <w:rFonts w:ascii="Times New Roman" w:hAnsi="Times New Roman" w:cs="Times New Roman"/>
              </w:rPr>
            </w:pPr>
            <w:r w:rsidRPr="002749D1">
              <w:rPr>
                <w:rFonts w:ascii="Times New Roman" w:hAnsi="Times New Roman" w:cs="Times New Roman"/>
              </w:rPr>
              <w:t>…… cm</w:t>
            </w:r>
          </w:p>
          <w:p w:rsidR="00691D21" w:rsidRPr="002749D1" w:rsidRDefault="00691D21" w:rsidP="00DC1278">
            <w:pPr>
              <w:spacing w:after="0" w:line="240" w:lineRule="auto"/>
              <w:contextualSpacing/>
              <w:jc w:val="center"/>
              <w:rPr>
                <w:rFonts w:ascii="Times New Roman" w:hAnsi="Times New Roman" w:cs="Times New Roman"/>
                <w:sz w:val="18"/>
                <w:szCs w:val="18"/>
              </w:rPr>
            </w:pPr>
            <w:r w:rsidRPr="002749D1">
              <w:rPr>
                <w:rFonts w:ascii="Times New Roman" w:hAnsi="Times New Roman" w:cs="Times New Roman"/>
                <w:color w:val="0070C0"/>
                <w:sz w:val="18"/>
                <w:szCs w:val="18"/>
              </w:rPr>
              <w:t xml:space="preserve">Należy podać </w:t>
            </w:r>
            <w:r w:rsidRPr="002749D1">
              <w:rPr>
                <w:rFonts w:ascii="Times New Roman" w:hAnsi="Times New Roman" w:cs="Times New Roman"/>
                <w:b/>
                <w:color w:val="0070C0"/>
                <w:sz w:val="18"/>
                <w:szCs w:val="18"/>
              </w:rPr>
              <w:t>maksymalną odległość</w:t>
            </w:r>
            <w:r w:rsidRPr="002749D1">
              <w:rPr>
                <w:rFonts w:ascii="Times New Roman" w:hAnsi="Times New Roman" w:cs="Times New Roman"/>
                <w:color w:val="0070C0"/>
                <w:sz w:val="18"/>
                <w:szCs w:val="18"/>
              </w:rPr>
              <w:t xml:space="preserve"> umożliwiającą wykonanie analizy</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691D21"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Pomiar możliwy przez woreczki plastikowe, zamknięte okna, zasłonięte dygestoria lub komory rękawicowe, butelki, itp.</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F62F99">
            <w:pPr>
              <w:tabs>
                <w:tab w:val="left" w:pos="975"/>
              </w:tabs>
              <w:spacing w:after="0" w:line="240" w:lineRule="auto"/>
              <w:contextualSpacing/>
              <w:jc w:val="both"/>
              <w:rPr>
                <w:rFonts w:ascii="Times New Roman" w:eastAsia="Times New Roman" w:hAnsi="Times New Roman" w:cs="Times New Roman"/>
              </w:rPr>
            </w:pPr>
            <w:r>
              <w:rPr>
                <w:rFonts w:ascii="Times New Roman" w:hAnsi="Times New Roman" w:cs="Times New Roman"/>
              </w:rPr>
              <w:t xml:space="preserve">Urządzenie </w:t>
            </w:r>
            <w:r w:rsidR="00F62F99" w:rsidRPr="002749D1">
              <w:rPr>
                <w:rFonts w:ascii="Times New Roman" w:hAnsi="Times New Roman" w:cs="Times New Roman"/>
              </w:rPr>
              <w:t>powin</w:t>
            </w:r>
            <w:r>
              <w:rPr>
                <w:rFonts w:ascii="Times New Roman" w:hAnsi="Times New Roman" w:cs="Times New Roman"/>
              </w:rPr>
              <w:t>no</w:t>
            </w:r>
            <w:r w:rsidR="00F62F99" w:rsidRPr="002749D1">
              <w:rPr>
                <w:rFonts w:ascii="Times New Roman" w:hAnsi="Times New Roman" w:cs="Times New Roman"/>
              </w:rPr>
              <w:t xml:space="preserve"> identyfikować substancje niebezpieczne w tym materiały wybuchowe, narkotyki, substancje toksyczne i trujące, broń chemiczna w tym substancje z grupy </w:t>
            </w:r>
            <w:proofErr w:type="spellStart"/>
            <w:r w:rsidR="00F62F99" w:rsidRPr="002749D1">
              <w:rPr>
                <w:rFonts w:ascii="Times New Roman" w:hAnsi="Times New Roman" w:cs="Times New Roman"/>
              </w:rPr>
              <w:t>Nowiczoków</w:t>
            </w:r>
            <w:proofErr w:type="spellEnd"/>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8762BB">
            <w:pPr>
              <w:spacing w:after="0" w:line="240" w:lineRule="auto"/>
              <w:contextualSpacing/>
              <w:jc w:val="both"/>
              <w:rPr>
                <w:rFonts w:ascii="Times New Roman" w:eastAsia="Times New Roman" w:hAnsi="Times New Roman" w:cs="Times New Roman"/>
              </w:rPr>
            </w:pPr>
            <w:r>
              <w:rPr>
                <w:rFonts w:ascii="Times New Roman" w:hAnsi="Times New Roman" w:cs="Times New Roman"/>
              </w:rPr>
              <w:t xml:space="preserve">Urządzenie </w:t>
            </w:r>
            <w:r w:rsidR="00F62F99" w:rsidRPr="002749D1">
              <w:rPr>
                <w:rFonts w:ascii="Times New Roman" w:hAnsi="Times New Roman" w:cs="Times New Roman"/>
              </w:rPr>
              <w:t>musi pozwalać na zdalną identyfikacje w oświetlonych pomieszczeniach, bez konieczności ich zaciemniania czy wyłączania światła w pomieszczeniu gdzie odbywa się analiza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1.7</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C220E5" w:rsidP="008762BB">
            <w:pPr>
              <w:spacing w:after="0" w:line="240" w:lineRule="auto"/>
              <w:contextualSpacing/>
              <w:jc w:val="both"/>
              <w:rPr>
                <w:rFonts w:ascii="Times New Roman" w:eastAsia="Times New Roman" w:hAnsi="Times New Roman" w:cs="Times New Roman"/>
              </w:rPr>
            </w:pPr>
            <w:r>
              <w:rPr>
                <w:rFonts w:ascii="Times New Roman" w:hAnsi="Times New Roman" w:cs="Times New Roman"/>
              </w:rPr>
              <w:t>Urządzenie</w:t>
            </w:r>
            <w:r w:rsidR="00F62F99" w:rsidRPr="002749D1">
              <w:rPr>
                <w:rFonts w:ascii="Times New Roman" w:hAnsi="Times New Roman" w:cs="Times New Roman"/>
              </w:rPr>
              <w:t xml:space="preserve"> musi pozwalać na bezpieczną (brak ryzyka zapłony czy detonacji) identyfikację ciemnych materiałów a także wrażliwych materiałów wybuchowych jak piorunian rtęci czy srebra, azydek srebra, itp.</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pacing w:after="0" w:line="240" w:lineRule="auto"/>
              <w:contextualSpacing/>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8762BB">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lastRenderedPageBreak/>
              <w:t>1.8</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8762BB">
            <w:pPr>
              <w:spacing w:after="0" w:line="240" w:lineRule="auto"/>
              <w:contextualSpacing/>
              <w:jc w:val="both"/>
              <w:rPr>
                <w:rFonts w:ascii="Times New Roman" w:eastAsia="Times New Roman" w:hAnsi="Times New Roman" w:cs="Times New Roman"/>
              </w:rPr>
            </w:pPr>
            <w:r w:rsidRPr="002749D1">
              <w:rPr>
                <w:rFonts w:ascii="Times New Roman" w:hAnsi="Times New Roman" w:cs="Times New Roman"/>
              </w:rPr>
              <w:t>Zdalne odczyty możliwe przez przeźroczyste opakowania bez kontaktu z badanym materiałem</w:t>
            </w:r>
          </w:p>
        </w:tc>
        <w:tc>
          <w:tcPr>
            <w:tcW w:w="3685" w:type="dxa"/>
            <w:tcBorders>
              <w:top w:val="single" w:sz="4" w:space="0" w:color="000000"/>
              <w:left w:val="single" w:sz="4" w:space="0" w:color="000000"/>
              <w:bottom w:val="single" w:sz="4" w:space="0" w:color="000000"/>
              <w:right w:val="single" w:sz="4" w:space="0" w:color="000000"/>
            </w:tcBorders>
            <w:vAlign w:val="center"/>
          </w:tcPr>
          <w:p w:rsidR="00087F69" w:rsidRPr="002749D1" w:rsidRDefault="00087F69" w:rsidP="00087F69">
            <w:pPr>
              <w:spacing w:after="0" w:line="240" w:lineRule="auto"/>
              <w:contextualSpacing/>
              <w:rPr>
                <w:rFonts w:ascii="Times New Roman" w:hAnsi="Times New Roman" w:cs="Times New Roman"/>
              </w:rPr>
            </w:pPr>
            <w:r w:rsidRPr="002749D1">
              <w:rPr>
                <w:rFonts w:ascii="Times New Roman" w:hAnsi="Times New Roman" w:cs="Times New Roman"/>
              </w:rPr>
              <w:t xml:space="preserve">               </w:t>
            </w:r>
            <w:r w:rsidR="00F62F99" w:rsidRPr="002749D1">
              <w:rPr>
                <w:rFonts w:ascii="Times New Roman" w:hAnsi="Times New Roman" w:cs="Times New Roman"/>
              </w:rPr>
              <w:t xml:space="preserve"> SPEŁNIA/NIE SPEŁNIA </w:t>
            </w:r>
            <w:r w:rsidRPr="002749D1">
              <w:rPr>
                <w:rFonts w:ascii="Times New Roman" w:hAnsi="Times New Roman" w:cs="Times New Roman"/>
              </w:rPr>
              <w:t xml:space="preserve">  </w:t>
            </w:r>
          </w:p>
          <w:p w:rsidR="00DC1278" w:rsidRPr="002749D1" w:rsidRDefault="00DC1278" w:rsidP="00087F69">
            <w:pPr>
              <w:spacing w:after="0" w:line="240" w:lineRule="auto"/>
              <w:contextualSpacing/>
              <w:jc w:val="center"/>
              <w:rPr>
                <w:rFonts w:ascii="Times New Roman" w:hAnsi="Times New Roman" w:cs="Times New Roman"/>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1.9</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2749D1">
              <w:rPr>
                <w:rFonts w:ascii="Times New Roman" w:hAnsi="Times New Roman" w:cs="Times New Roman"/>
              </w:rPr>
              <w:t>Szybka identyfikacja bez konieczności przygotowywania próbki nawet wysoce fluorescencyjnych materiałów</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1.10</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F62F99">
            <w:pPr>
              <w:suppressAutoHyphens/>
              <w:spacing w:before="20" w:after="20" w:line="240" w:lineRule="auto"/>
              <w:jc w:val="both"/>
              <w:rPr>
                <w:rFonts w:ascii="Times New Roman" w:eastAsia="Times New Roman" w:hAnsi="Times New Roman" w:cs="Times New Roman"/>
                <w:b/>
                <w:lang w:eastAsia="ar-SA"/>
              </w:rPr>
            </w:pPr>
            <w:r w:rsidRPr="002749D1">
              <w:rPr>
                <w:rFonts w:ascii="Times New Roman" w:hAnsi="Times New Roman" w:cs="Times New Roman"/>
              </w:rPr>
              <w:t>System powinien posiadać możliwość szczegółowej analizy danych w celu możliwości identyfikacji substancji w próbkach rozcieńczonych lub znajdujących się w niewielkiej ilości w badanym materiale</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B22413">
              <w:rPr>
                <w:rFonts w:ascii="Times New Roman" w:hAnsi="Times New Roman" w:cs="Times New Roman"/>
                <w:color w:val="000000" w:themeColor="text1"/>
              </w:rPr>
              <w:t xml:space="preserve">Urządzenie posiada </w:t>
            </w:r>
            <w:r w:rsidR="00B22413" w:rsidRPr="00B22413">
              <w:rPr>
                <w:rFonts w:ascii="Times New Roman" w:hAnsi="Times New Roman" w:cs="Times New Roman"/>
                <w:color w:val="000000" w:themeColor="text1"/>
              </w:rPr>
              <w:t>b</w:t>
            </w:r>
            <w:r w:rsidRPr="00B22413">
              <w:rPr>
                <w:rFonts w:ascii="Times New Roman" w:hAnsi="Times New Roman" w:cs="Times New Roman"/>
                <w:color w:val="000000" w:themeColor="text1"/>
              </w:rPr>
              <w:t>ibliotek</w:t>
            </w:r>
            <w:r w:rsidR="00B22413" w:rsidRPr="00B22413">
              <w:rPr>
                <w:rFonts w:ascii="Times New Roman" w:hAnsi="Times New Roman" w:cs="Times New Roman"/>
                <w:color w:val="000000" w:themeColor="text1"/>
              </w:rPr>
              <w:t>ę</w:t>
            </w:r>
            <w:r w:rsidRPr="00B22413">
              <w:rPr>
                <w:rFonts w:ascii="Times New Roman" w:hAnsi="Times New Roman" w:cs="Times New Roman"/>
                <w:color w:val="000000" w:themeColor="text1"/>
              </w:rPr>
              <w:t xml:space="preserve"> </w:t>
            </w:r>
            <w:r w:rsidRPr="002749D1">
              <w:rPr>
                <w:rFonts w:ascii="Times New Roman" w:hAnsi="Times New Roman" w:cs="Times New Roman"/>
              </w:rPr>
              <w:t xml:space="preserve">widm </w:t>
            </w:r>
            <w:proofErr w:type="spellStart"/>
            <w:r w:rsidRPr="002749D1">
              <w:rPr>
                <w:rFonts w:ascii="Times New Roman" w:hAnsi="Times New Roman" w:cs="Times New Roman"/>
              </w:rPr>
              <w:t>Ramana</w:t>
            </w:r>
            <w:proofErr w:type="spellEnd"/>
            <w:r w:rsidRPr="002749D1">
              <w:rPr>
                <w:rFonts w:ascii="Times New Roman" w:hAnsi="Times New Roman" w:cs="Times New Roman"/>
              </w:rPr>
              <w:t xml:space="preserve"> z możliwością rozszerzania zawierająca materiały wybuchowe, prekursory, toksyczne środki przemysłowe, narkotyki i broń chemiczna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DC1278" w:rsidP="00DC1278">
            <w:pPr>
              <w:suppressAutoHyphens/>
              <w:spacing w:before="20" w:after="20" w:line="240" w:lineRule="auto"/>
              <w:jc w:val="center"/>
              <w:rPr>
                <w:rFonts w:ascii="Times New Roman" w:eastAsia="Times New Roman" w:hAnsi="Times New Roman" w:cs="Times New Roman"/>
                <w:lang w:eastAsia="ar-SA"/>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62F99" w:rsidP="007536CF">
            <w:pPr>
              <w:suppressAutoHyphens/>
              <w:spacing w:before="20" w:after="20" w:line="240" w:lineRule="auto"/>
              <w:jc w:val="both"/>
              <w:rPr>
                <w:rFonts w:ascii="Times New Roman" w:eastAsia="Times New Roman" w:hAnsi="Times New Roman" w:cs="Times New Roman"/>
                <w:lang w:eastAsia="ar-SA"/>
              </w:rPr>
            </w:pPr>
            <w:r w:rsidRPr="002749D1">
              <w:rPr>
                <w:rFonts w:ascii="Times New Roman" w:hAnsi="Times New Roman" w:cs="Times New Roman"/>
              </w:rPr>
              <w:t>Urządzenie przenośne, kompaktowe o wymiarach –max. ok 30x27x15 cm, waga – max. do 3 kg</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B22413" w:rsidP="002749D1">
            <w:pPr>
              <w:suppressAutoHyphens/>
              <w:spacing w:before="20" w:after="20" w:line="240" w:lineRule="auto"/>
              <w:jc w:val="center"/>
              <w:rPr>
                <w:rFonts w:ascii="Times New Roman" w:eastAsia="Times New Roman" w:hAnsi="Times New Roman" w:cs="Times New Roman"/>
                <w:sz w:val="18"/>
                <w:szCs w:val="18"/>
                <w:lang w:eastAsia="ar-SA"/>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753580"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Szybkość analizy do 10 sekund dla większości próbek w tym białych proszków, do 30 sekund dla materiałów wysoce fluorescencyjnych i o ciemnym zabarwieniu</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753580" w:rsidP="00DC1278">
            <w:pPr>
              <w:suppressAutoHyphens/>
              <w:spacing w:before="20" w:after="20" w:line="240" w:lineRule="auto"/>
              <w:jc w:val="center"/>
              <w:rPr>
                <w:rFonts w:ascii="Times New Roman" w:hAnsi="Times New Roman" w:cs="Times New Roman"/>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Praca ciągła na zasilaniu baterią – min. 2 godz.</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2727A5" w:rsidP="00DC1278">
            <w:pPr>
              <w:suppressAutoHyphens/>
              <w:spacing w:before="20" w:after="20" w:line="240" w:lineRule="auto"/>
              <w:jc w:val="center"/>
              <w:rPr>
                <w:rFonts w:ascii="Times New Roman" w:hAnsi="Times New Roman" w:cs="Times New Roman"/>
              </w:rPr>
            </w:pPr>
            <w:r w:rsidRPr="00B22413">
              <w:rPr>
                <w:rFonts w:ascii="Times New Roman" w:hAnsi="Times New Roman" w:cs="Times New Roman"/>
                <w:color w:val="000000" w:themeColor="text1"/>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Praca w trudnych warunkach: praca w temp. od -20 </w:t>
            </w:r>
            <w:r w:rsidRPr="002749D1">
              <w:rPr>
                <w:rFonts w:ascii="Times New Roman" w:hAnsi="Times New Roman" w:cs="Times New Roman"/>
              </w:rPr>
              <w:sym w:font="Symbol" w:char="F0B0"/>
            </w:r>
            <w:r w:rsidRPr="002749D1">
              <w:rPr>
                <w:rFonts w:ascii="Times New Roman" w:hAnsi="Times New Roman" w:cs="Times New Roman"/>
              </w:rPr>
              <w:t xml:space="preserve">C do +40 </w:t>
            </w:r>
            <w:r w:rsidRPr="002749D1">
              <w:rPr>
                <w:rFonts w:ascii="Times New Roman" w:hAnsi="Times New Roman" w:cs="Times New Roman"/>
              </w:rPr>
              <w:sym w:font="Symbol" w:char="F0B0"/>
            </w:r>
            <w:r w:rsidRPr="002749D1">
              <w:rPr>
                <w:rFonts w:ascii="Times New Roman" w:hAnsi="Times New Roman" w:cs="Times New Roman"/>
              </w:rPr>
              <w:t>C.</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2727A5">
            <w:pPr>
              <w:tabs>
                <w:tab w:val="left" w:pos="3465"/>
              </w:tabs>
              <w:suppressAutoHyphens/>
              <w:spacing w:before="20" w:after="20" w:line="240" w:lineRule="auto"/>
              <w:jc w:val="both"/>
              <w:rPr>
                <w:rFonts w:ascii="Times New Roman" w:hAnsi="Times New Roman" w:cs="Times New Roman"/>
              </w:rPr>
            </w:pPr>
            <w:r w:rsidRPr="002749D1">
              <w:rPr>
                <w:rFonts w:ascii="Times New Roman" w:hAnsi="Times New Roman" w:cs="Times New Roman"/>
              </w:rPr>
              <w:t>W zestawie dodatkowy komplet baterii z niezależną ładowarką</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1.17</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Oprogramowanie aparatu w języku polskim</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2727A5"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1.18</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Możliwość montażu </w:t>
            </w:r>
            <w:r w:rsidR="00C220E5">
              <w:rPr>
                <w:rFonts w:ascii="Times New Roman" w:hAnsi="Times New Roman" w:cs="Times New Roman"/>
              </w:rPr>
              <w:t>urządzenia</w:t>
            </w:r>
            <w:r w:rsidRPr="002749D1">
              <w:rPr>
                <w:rFonts w:ascii="Times New Roman" w:hAnsi="Times New Roman" w:cs="Times New Roman"/>
              </w:rPr>
              <w:t xml:space="preserve"> na platformach mobilnych jak roboty (oprogramowanie do zdalnej komunikacji w zestawie) – w zestawie dołączona płytka montażowo-komunikacyjną do robotów i oprogramowanie do zdalnej komunikacji</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2727A5"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27A5" w:rsidRPr="002749D1" w:rsidRDefault="00FA4678"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1.19</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2727A5" w:rsidRPr="002749D1" w:rsidRDefault="002727A5"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Urządzenie w zestawie z uchwytem/miejscem na fiolki – statyw/przystawka</w:t>
            </w:r>
            <w:r w:rsidR="00B22413">
              <w:rPr>
                <w:rFonts w:ascii="Times New Roman" w:hAnsi="Times New Roman" w:cs="Times New Roman"/>
              </w:rPr>
              <w:t xml:space="preserve"> umożliwiające analizę próbki w urządzeniu. </w:t>
            </w:r>
          </w:p>
        </w:tc>
        <w:tc>
          <w:tcPr>
            <w:tcW w:w="3685" w:type="dxa"/>
            <w:tcBorders>
              <w:top w:val="single" w:sz="4" w:space="0" w:color="000000"/>
              <w:left w:val="single" w:sz="4" w:space="0" w:color="000000"/>
              <w:bottom w:val="single" w:sz="4" w:space="0" w:color="000000"/>
              <w:right w:val="single" w:sz="4" w:space="0" w:color="000000"/>
            </w:tcBorders>
            <w:vAlign w:val="center"/>
          </w:tcPr>
          <w:p w:rsidR="002727A5"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FA4678"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1.20</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7536CF">
            <w:pPr>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Wzmocniona walizka transportowa, w której mieści </w:t>
            </w:r>
            <w:r w:rsidRPr="00B22413">
              <w:rPr>
                <w:rFonts w:ascii="Times New Roman" w:hAnsi="Times New Roman" w:cs="Times New Roman"/>
                <w:color w:val="000000" w:themeColor="text1"/>
              </w:rPr>
              <w:t>się kompletne urządzenie</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B22413"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1.21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FA4678">
            <w:pPr>
              <w:tabs>
                <w:tab w:val="left" w:pos="1980"/>
              </w:tabs>
              <w:suppressAutoHyphens/>
              <w:spacing w:before="20" w:after="20" w:line="240" w:lineRule="auto"/>
              <w:jc w:val="both"/>
              <w:rPr>
                <w:rFonts w:ascii="Times New Roman" w:hAnsi="Times New Roman" w:cs="Times New Roman"/>
              </w:rPr>
            </w:pPr>
            <w:r w:rsidRPr="002749D1">
              <w:rPr>
                <w:rFonts w:ascii="Times New Roman" w:hAnsi="Times New Roman" w:cs="Times New Roman"/>
              </w:rPr>
              <w:t xml:space="preserve">Do urządzenia dołączony zestaw próbek do </w:t>
            </w:r>
            <w:r w:rsidRPr="0071402A">
              <w:rPr>
                <w:rFonts w:ascii="Times New Roman" w:hAnsi="Times New Roman" w:cs="Times New Roman"/>
                <w:color w:val="000000" w:themeColor="text1"/>
              </w:rPr>
              <w:t xml:space="preserve">treningu, tj. </w:t>
            </w:r>
            <w:r w:rsidR="00B22413" w:rsidRPr="0071402A">
              <w:rPr>
                <w:rFonts w:ascii="Times New Roman" w:hAnsi="Times New Roman" w:cs="Times New Roman"/>
                <w:color w:val="000000" w:themeColor="text1"/>
              </w:rPr>
              <w:t>fiolki 4 ml zawierające próbki w stanie skupienia ciekł</w:t>
            </w:r>
            <w:r w:rsidR="0071402A" w:rsidRPr="0071402A">
              <w:rPr>
                <w:rFonts w:ascii="Times New Roman" w:hAnsi="Times New Roman" w:cs="Times New Roman"/>
                <w:color w:val="000000" w:themeColor="text1"/>
              </w:rPr>
              <w:t>y</w:t>
            </w:r>
            <w:r w:rsidR="00B22413" w:rsidRPr="0071402A">
              <w:rPr>
                <w:rFonts w:ascii="Times New Roman" w:hAnsi="Times New Roman" w:cs="Times New Roman"/>
                <w:color w:val="000000" w:themeColor="text1"/>
              </w:rPr>
              <w:t>m, stałym oraz konsystencji pośredniej (mazistej)</w:t>
            </w:r>
            <w:r w:rsidR="0071402A" w:rsidRPr="0071402A">
              <w:rPr>
                <w:rFonts w:ascii="Times New Roman" w:hAnsi="Times New Roman" w:cs="Times New Roman"/>
                <w:color w:val="000000" w:themeColor="text1"/>
              </w:rPr>
              <w:t xml:space="preserve"> </w:t>
            </w:r>
            <w:r w:rsidR="00B22413" w:rsidRPr="0071402A">
              <w:rPr>
                <w:rFonts w:ascii="Times New Roman" w:hAnsi="Times New Roman" w:cs="Times New Roman"/>
                <w:color w:val="000000" w:themeColor="text1"/>
              </w:rPr>
              <w:t xml:space="preserve">- po 1 szt. </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before="20" w:after="20" w:line="240" w:lineRule="auto"/>
              <w:jc w:val="center"/>
              <w:rPr>
                <w:rFonts w:ascii="Times New Roman" w:hAnsi="Times New Roman" w:cs="Times New Roman"/>
                <w:color w:val="FF0000"/>
              </w:rPr>
            </w:pPr>
            <w:r w:rsidRPr="002749D1">
              <w:rPr>
                <w:rFonts w:ascii="Times New Roman" w:hAnsi="Times New Roman" w:cs="Times New Roman"/>
              </w:rPr>
              <w:t>SPEŁNIA/NIE SPEŁNIA</w:t>
            </w:r>
          </w:p>
        </w:tc>
      </w:tr>
      <w:tr w:rsidR="00F62F99"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2F99" w:rsidRPr="002749D1" w:rsidRDefault="00F62F9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1.</w:t>
            </w:r>
            <w:r w:rsidR="0071402A">
              <w:rPr>
                <w:rFonts w:ascii="Times New Roman" w:eastAsia="Times New Roman" w:hAnsi="Times New Roman" w:cs="Times New Roman"/>
                <w:lang w:eastAsia="ar-SA"/>
              </w:rPr>
              <w:t>22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62F99" w:rsidRPr="002749D1" w:rsidRDefault="0071402A" w:rsidP="007536CF">
            <w:pPr>
              <w:suppressAutoHyphens/>
              <w:spacing w:before="20" w:after="20" w:line="240" w:lineRule="auto"/>
              <w:jc w:val="both"/>
              <w:rPr>
                <w:rFonts w:ascii="Times New Roman" w:hAnsi="Times New Roman" w:cs="Times New Roman"/>
              </w:rPr>
            </w:pPr>
            <w:r>
              <w:rPr>
                <w:rFonts w:ascii="Times New Roman" w:hAnsi="Times New Roman" w:cs="Times New Roman"/>
                <w:color w:val="000000" w:themeColor="text1"/>
              </w:rPr>
              <w:t>Rok</w:t>
            </w:r>
            <w:r w:rsidR="002727A5" w:rsidRPr="00B22413">
              <w:rPr>
                <w:rFonts w:ascii="Times New Roman" w:hAnsi="Times New Roman" w:cs="Times New Roman"/>
                <w:color w:val="000000" w:themeColor="text1"/>
              </w:rPr>
              <w:t xml:space="preserve"> produkcji</w:t>
            </w:r>
            <w:r>
              <w:rPr>
                <w:rFonts w:ascii="Times New Roman" w:hAnsi="Times New Roman" w:cs="Times New Roman"/>
                <w:color w:val="000000" w:themeColor="text1"/>
              </w:rPr>
              <w:t>:</w:t>
            </w:r>
            <w:r w:rsidR="002727A5" w:rsidRPr="00B22413">
              <w:rPr>
                <w:rFonts w:ascii="Times New Roman" w:hAnsi="Times New Roman" w:cs="Times New Roman"/>
                <w:color w:val="000000" w:themeColor="text1"/>
              </w:rPr>
              <w:t xml:space="preserve"> </w:t>
            </w:r>
            <w:r w:rsidR="00B22413" w:rsidRPr="00B22413">
              <w:rPr>
                <w:rFonts w:ascii="Times New Roman" w:hAnsi="Times New Roman" w:cs="Times New Roman"/>
                <w:color w:val="000000" w:themeColor="text1"/>
              </w:rPr>
              <w:t>202</w:t>
            </w:r>
            <w:r>
              <w:rPr>
                <w:rFonts w:ascii="Times New Roman" w:hAnsi="Times New Roman" w:cs="Times New Roman"/>
                <w:color w:val="000000" w:themeColor="text1"/>
              </w:rPr>
              <w:t>5</w:t>
            </w:r>
            <w:r w:rsidR="002727A5" w:rsidRPr="00B22413">
              <w:rPr>
                <w:rFonts w:ascii="Times New Roman" w:hAnsi="Times New Roman" w:cs="Times New Roman"/>
                <w:color w:val="000000" w:themeColor="text1"/>
              </w:rPr>
              <w:t xml:space="preserve"> rok</w:t>
            </w:r>
            <w:r w:rsidR="00357FF8" w:rsidRPr="00B22413">
              <w:rPr>
                <w:rFonts w:ascii="Times New Roman" w:hAnsi="Times New Roman" w:cs="Times New Roman"/>
                <w:color w:val="000000" w:themeColor="text1"/>
              </w:rPr>
              <w:t xml:space="preserve">. </w:t>
            </w:r>
          </w:p>
        </w:tc>
        <w:tc>
          <w:tcPr>
            <w:tcW w:w="3685" w:type="dxa"/>
            <w:tcBorders>
              <w:top w:val="single" w:sz="4" w:space="0" w:color="000000"/>
              <w:left w:val="single" w:sz="4" w:space="0" w:color="000000"/>
              <w:bottom w:val="single" w:sz="4" w:space="0" w:color="000000"/>
              <w:right w:val="single" w:sz="4" w:space="0" w:color="000000"/>
            </w:tcBorders>
            <w:vAlign w:val="center"/>
          </w:tcPr>
          <w:p w:rsidR="00F62F99" w:rsidRPr="002749D1" w:rsidRDefault="002727A5" w:rsidP="00DC1278">
            <w:pPr>
              <w:suppressAutoHyphens/>
              <w:spacing w:before="20" w:after="20" w:line="240" w:lineRule="auto"/>
              <w:jc w:val="center"/>
              <w:rPr>
                <w:rFonts w:ascii="Times New Roman" w:hAnsi="Times New Roman" w:cs="Times New Roman"/>
              </w:rPr>
            </w:pPr>
            <w:r w:rsidRPr="00B22413">
              <w:rPr>
                <w:rFonts w:ascii="Times New Roman" w:hAnsi="Times New Roman" w:cs="Times New Roman"/>
                <w:color w:val="000000" w:themeColor="text1"/>
              </w:rPr>
              <w:t>SPEŁNIA/NIE SPEŁNIA</w:t>
            </w:r>
          </w:p>
        </w:tc>
      </w:tr>
      <w:tr w:rsidR="0071402A"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402A" w:rsidRPr="002749D1" w:rsidRDefault="0071402A"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1.23</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71402A" w:rsidRPr="00B22413" w:rsidRDefault="0071402A" w:rsidP="007536CF">
            <w:pPr>
              <w:suppressAutoHyphens/>
              <w:spacing w:before="20" w:after="20" w:line="240" w:lineRule="auto"/>
              <w:jc w:val="both"/>
              <w:rPr>
                <w:rFonts w:ascii="Times New Roman" w:hAnsi="Times New Roman" w:cs="Times New Roman"/>
                <w:color w:val="000000" w:themeColor="text1"/>
              </w:rPr>
            </w:pPr>
            <w:r>
              <w:rPr>
                <w:rFonts w:ascii="Times New Roman" w:hAnsi="Times New Roman" w:cs="Times New Roman"/>
                <w:color w:val="000000" w:themeColor="text1"/>
              </w:rPr>
              <w:t>W zestawie zasilacz umożliwiający ciągłą pracę urządzenia</w:t>
            </w:r>
          </w:p>
        </w:tc>
        <w:tc>
          <w:tcPr>
            <w:tcW w:w="3685" w:type="dxa"/>
            <w:tcBorders>
              <w:top w:val="single" w:sz="4" w:space="0" w:color="000000"/>
              <w:left w:val="single" w:sz="4" w:space="0" w:color="000000"/>
              <w:bottom w:val="single" w:sz="4" w:space="0" w:color="000000"/>
              <w:right w:val="single" w:sz="4" w:space="0" w:color="000000"/>
            </w:tcBorders>
            <w:vAlign w:val="center"/>
          </w:tcPr>
          <w:p w:rsidR="0071402A" w:rsidRPr="00B22413" w:rsidRDefault="0071402A" w:rsidP="00DC1278">
            <w:pPr>
              <w:suppressAutoHyphens/>
              <w:spacing w:before="20" w:after="20" w:line="240" w:lineRule="auto"/>
              <w:jc w:val="center"/>
              <w:rPr>
                <w:rFonts w:ascii="Times New Roman" w:hAnsi="Times New Roman" w:cs="Times New Roman"/>
                <w:color w:val="000000" w:themeColor="text1"/>
              </w:rPr>
            </w:pPr>
            <w:r w:rsidRPr="00B22413">
              <w:rPr>
                <w:rFonts w:ascii="Times New Roman" w:hAnsi="Times New Roman" w:cs="Times New Roman"/>
                <w:color w:val="000000" w:themeColor="text1"/>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b/>
                <w:bCs/>
                <w:lang w:eastAsia="ar-SA"/>
              </w:rPr>
            </w:pPr>
            <w:r w:rsidRPr="002749D1">
              <w:rPr>
                <w:rFonts w:ascii="Times New Roman" w:eastAsia="Times New Roman" w:hAnsi="Times New Roman" w:cs="Times New Roman"/>
                <w:b/>
                <w:bCs/>
                <w:lang w:eastAsia="ar-SA"/>
              </w:rPr>
              <w:t>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00B0F0"/>
          </w:tcPr>
          <w:p w:rsidR="0015405D" w:rsidRPr="002749D1" w:rsidRDefault="00FA4678" w:rsidP="000C386E">
            <w:pPr>
              <w:suppressAutoHyphens/>
              <w:spacing w:after="0" w:line="240" w:lineRule="auto"/>
              <w:rPr>
                <w:rFonts w:ascii="Times New Roman" w:eastAsia="Times New Roman" w:hAnsi="Times New Roman" w:cs="Times New Roman"/>
                <w:b/>
                <w:bCs/>
                <w:lang w:eastAsia="ar-SA"/>
              </w:rPr>
            </w:pPr>
            <w:r w:rsidRPr="002749D1">
              <w:rPr>
                <w:rFonts w:ascii="Times New Roman" w:eastAsia="Times New Roman" w:hAnsi="Times New Roman" w:cs="Times New Roman"/>
                <w:b/>
                <w:bCs/>
                <w:lang w:eastAsia="ar-SA"/>
              </w:rPr>
              <w:t>Bezpieczeństwo obsługi</w:t>
            </w:r>
          </w:p>
        </w:tc>
        <w:tc>
          <w:tcPr>
            <w:tcW w:w="3685" w:type="dxa"/>
            <w:tcBorders>
              <w:top w:val="single" w:sz="4" w:space="0" w:color="000000"/>
              <w:left w:val="single" w:sz="4" w:space="0" w:color="000000"/>
              <w:bottom w:val="single" w:sz="4" w:space="0" w:color="000000"/>
              <w:right w:val="single" w:sz="4" w:space="0" w:color="000000"/>
            </w:tcBorders>
            <w:shd w:val="clear" w:color="auto" w:fill="00B0F0"/>
            <w:vAlign w:val="center"/>
          </w:tcPr>
          <w:p w:rsidR="0015405D" w:rsidRPr="002749D1" w:rsidRDefault="0015405D" w:rsidP="00DC1278">
            <w:pPr>
              <w:suppressAutoHyphens/>
              <w:spacing w:after="0" w:line="240" w:lineRule="auto"/>
              <w:jc w:val="center"/>
              <w:rPr>
                <w:rFonts w:ascii="Times New Roman" w:eastAsia="Times New Roman" w:hAnsi="Times New Roman" w:cs="Times New Roman"/>
                <w:b/>
                <w:bCs/>
                <w:lang w:eastAsia="ar-SA"/>
              </w:rPr>
            </w:pP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bCs/>
                <w:lang w:eastAsia="ar-SA"/>
              </w:rPr>
            </w:pPr>
            <w:r w:rsidRPr="002749D1">
              <w:rPr>
                <w:rFonts w:ascii="Times New Roman" w:eastAsia="Times New Roman" w:hAnsi="Times New Roman" w:cs="Times New Roman"/>
                <w:bCs/>
                <w:lang w:eastAsia="ar-SA"/>
              </w:rPr>
              <w:t>2.1</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bCs/>
                <w:lang w:eastAsia="ar-SA"/>
              </w:rPr>
            </w:pPr>
            <w:r w:rsidRPr="002749D1">
              <w:rPr>
                <w:rFonts w:ascii="Times New Roman" w:hAnsi="Times New Roman" w:cs="Times New Roman"/>
              </w:rPr>
              <w:t>Laser nie powodujący oparzeń czy uszkodzeń skóry</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087F69" w:rsidP="00FA46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15405D"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2.2</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lang w:eastAsia="ar-SA"/>
              </w:rPr>
            </w:pPr>
            <w:r w:rsidRPr="002749D1">
              <w:rPr>
                <w:rFonts w:ascii="Times New Roman" w:hAnsi="Times New Roman" w:cs="Times New Roman"/>
              </w:rPr>
              <w:t>Możliwość analizy substancji na powierzchniach wypolerowanych/lustrzanych bez ryzyka odbicia wiązki lasera</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FA4678" w:rsidP="00087F69">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15405D"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405D" w:rsidRPr="002749D1" w:rsidRDefault="00087F69" w:rsidP="007536CF">
            <w:pPr>
              <w:suppressAutoHyphens/>
              <w:spacing w:after="0" w:line="240" w:lineRule="auto"/>
              <w:jc w:val="center"/>
              <w:rPr>
                <w:rFonts w:ascii="Times New Roman" w:eastAsia="Times New Roman" w:hAnsi="Times New Roman" w:cs="Times New Roman"/>
                <w:lang w:eastAsia="ar-SA"/>
              </w:rPr>
            </w:pPr>
            <w:r w:rsidRPr="002749D1">
              <w:rPr>
                <w:rFonts w:ascii="Times New Roman" w:eastAsia="Times New Roman" w:hAnsi="Times New Roman" w:cs="Times New Roman"/>
                <w:lang w:eastAsia="ar-SA"/>
              </w:rPr>
              <w:t xml:space="preserve"> </w:t>
            </w:r>
            <w:r w:rsidR="00AC499F">
              <w:rPr>
                <w:rFonts w:ascii="Times New Roman" w:eastAsia="Times New Roman" w:hAnsi="Times New Roman" w:cs="Times New Roman"/>
                <w:lang w:eastAsia="ar-SA"/>
              </w:rPr>
              <w:t>2.4</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15405D" w:rsidRPr="002749D1" w:rsidRDefault="00FA4678" w:rsidP="007536CF">
            <w:pPr>
              <w:suppressAutoHyphens/>
              <w:spacing w:after="0" w:line="240" w:lineRule="auto"/>
              <w:rPr>
                <w:rFonts w:ascii="Times New Roman" w:eastAsia="Times New Roman" w:hAnsi="Times New Roman" w:cs="Times New Roman"/>
                <w:lang w:eastAsia="ar-SA"/>
              </w:rPr>
            </w:pPr>
            <w:r w:rsidRPr="002749D1">
              <w:rPr>
                <w:rFonts w:ascii="Times New Roman" w:hAnsi="Times New Roman" w:cs="Times New Roman"/>
              </w:rPr>
              <w:t>Laser nie może powodować ryzyka uszkodzenia/zapalenia/przetopienia opakowania z badaną substancją</w:t>
            </w:r>
          </w:p>
        </w:tc>
        <w:tc>
          <w:tcPr>
            <w:tcW w:w="3685" w:type="dxa"/>
            <w:tcBorders>
              <w:top w:val="single" w:sz="4" w:space="0" w:color="000000"/>
              <w:left w:val="single" w:sz="4" w:space="0" w:color="000000"/>
              <w:bottom w:val="single" w:sz="4" w:space="0" w:color="000000"/>
              <w:right w:val="single" w:sz="4" w:space="0" w:color="000000"/>
            </w:tcBorders>
            <w:vAlign w:val="center"/>
          </w:tcPr>
          <w:p w:rsidR="0015405D" w:rsidRPr="002749D1" w:rsidRDefault="00A76DEE"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FA4678" w:rsidRPr="002749D1" w:rsidTr="00DC1278">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4678" w:rsidRPr="002749D1" w:rsidRDefault="00AC499F"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2.5</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FA4678" w:rsidRPr="002749D1" w:rsidRDefault="00FA4678" w:rsidP="007536CF">
            <w:pPr>
              <w:suppressAutoHyphens/>
              <w:spacing w:after="0" w:line="240" w:lineRule="auto"/>
              <w:rPr>
                <w:rFonts w:ascii="Times New Roman" w:hAnsi="Times New Roman" w:cs="Times New Roman"/>
              </w:rPr>
            </w:pPr>
            <w:r w:rsidRPr="002749D1">
              <w:rPr>
                <w:rFonts w:ascii="Times New Roman" w:hAnsi="Times New Roman" w:cs="Times New Roman"/>
              </w:rPr>
              <w:t>System powinien być zaklasyfikowany jako urządzenie laserowe klasy 3R, aby można go było obsługiwać bez konieczności zatrudniania wyznaczonego pracownika ds. bezpieczeństwa laserowego lub konieczności noszenia przez operatora okularów ochronnych podczas korzystania z systemu</w:t>
            </w:r>
          </w:p>
        </w:tc>
        <w:tc>
          <w:tcPr>
            <w:tcW w:w="3685" w:type="dxa"/>
            <w:tcBorders>
              <w:top w:val="single" w:sz="4" w:space="0" w:color="000000"/>
              <w:left w:val="single" w:sz="4" w:space="0" w:color="000000"/>
              <w:bottom w:val="single" w:sz="4" w:space="0" w:color="000000"/>
              <w:right w:val="single" w:sz="4" w:space="0" w:color="000000"/>
            </w:tcBorders>
            <w:vAlign w:val="center"/>
          </w:tcPr>
          <w:p w:rsidR="00FA4678" w:rsidRPr="002749D1" w:rsidRDefault="00FA4678"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r w:rsidR="00AC499F" w:rsidRPr="002749D1" w:rsidTr="00AC499F">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499F" w:rsidRDefault="00AC499F" w:rsidP="007536CF">
            <w:pPr>
              <w:suppressAutoHyphens/>
              <w:spacing w:after="0" w:line="240" w:lineRule="auto"/>
              <w:jc w:val="center"/>
              <w:rPr>
                <w:rFonts w:ascii="Times New Roman" w:eastAsia="Times New Roman" w:hAnsi="Times New Roman" w:cs="Times New Roman"/>
                <w:lang w:eastAsia="ar-SA"/>
              </w:rPr>
            </w:pPr>
            <w:r>
              <w:rPr>
                <w:rFonts w:ascii="Times New Roman" w:eastAsia="Times New Roman" w:hAnsi="Times New Roman" w:cs="Times New Roman"/>
                <w:lang w:eastAsia="ar-SA"/>
              </w:rPr>
              <w:t>2.6</w:t>
            </w:r>
          </w:p>
        </w:tc>
        <w:tc>
          <w:tcPr>
            <w:tcW w:w="8925" w:type="dxa"/>
            <w:gridSpan w:val="2"/>
            <w:tcBorders>
              <w:top w:val="single" w:sz="4" w:space="0" w:color="000000"/>
              <w:left w:val="single" w:sz="4" w:space="0" w:color="000000"/>
              <w:bottom w:val="single" w:sz="4" w:space="0" w:color="000000"/>
              <w:right w:val="single" w:sz="4" w:space="0" w:color="000000"/>
            </w:tcBorders>
            <w:shd w:val="clear" w:color="auto" w:fill="auto"/>
          </w:tcPr>
          <w:p w:rsidR="00AC499F" w:rsidRPr="002749D1" w:rsidRDefault="00AC499F" w:rsidP="007536CF">
            <w:pPr>
              <w:suppressAutoHyphens/>
              <w:spacing w:after="0" w:line="240" w:lineRule="auto"/>
              <w:rPr>
                <w:rFonts w:ascii="Times New Roman" w:hAnsi="Times New Roman" w:cs="Times New Roman"/>
              </w:rPr>
            </w:pPr>
            <w:r>
              <w:rPr>
                <w:rFonts w:ascii="Times New Roman" w:hAnsi="Times New Roman" w:cs="Times New Roman"/>
              </w:rPr>
              <w:t>W zestawie instrukcja obsługi w języku polskim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rsidR="00AC499F" w:rsidRPr="002749D1" w:rsidRDefault="00AC499F" w:rsidP="00DC1278">
            <w:pPr>
              <w:suppressAutoHyphens/>
              <w:spacing w:after="0" w:line="240" w:lineRule="auto"/>
              <w:jc w:val="center"/>
              <w:rPr>
                <w:rFonts w:ascii="Times New Roman" w:hAnsi="Times New Roman" w:cs="Times New Roman"/>
              </w:rPr>
            </w:pPr>
            <w:r w:rsidRPr="002749D1">
              <w:rPr>
                <w:rFonts w:ascii="Times New Roman" w:hAnsi="Times New Roman" w:cs="Times New Roman"/>
              </w:rPr>
              <w:t>SPEŁNIA/NIE SPEŁNIA</w:t>
            </w:r>
          </w:p>
        </w:tc>
      </w:tr>
    </w:tbl>
    <w:p w:rsidR="006D1D95" w:rsidRDefault="008762BB">
      <w:r w:rsidRPr="00827DEF">
        <w:br w:type="textWrapping" w:clear="all"/>
      </w:r>
    </w:p>
    <w:p w:rsidR="00357FF8" w:rsidRPr="00827DEF" w:rsidRDefault="00357FF8" w:rsidP="0071402A"/>
    <w:sectPr w:rsidR="00357FF8" w:rsidRPr="00827DEF" w:rsidSect="00827DEF">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40B7" w:rsidRDefault="006740B7" w:rsidP="006740B7">
      <w:pPr>
        <w:spacing w:after="0" w:line="240" w:lineRule="auto"/>
      </w:pPr>
      <w:r>
        <w:separator/>
      </w:r>
    </w:p>
  </w:endnote>
  <w:endnote w:type="continuationSeparator" w:id="0">
    <w:p w:rsidR="006740B7" w:rsidRDefault="006740B7" w:rsidP="00674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22E1" w:rsidRPr="00DB22E1" w:rsidRDefault="00DB22E1" w:rsidP="00DB22E1">
    <w:pPr>
      <w:pStyle w:val="Stopka"/>
      <w:jc w:val="right"/>
      <w:rPr>
        <w:rFonts w:ascii="Times New Roman" w:hAnsi="Times New Roman" w:cs="Times New Roman"/>
        <w:i/>
        <w:iCs/>
        <w:color w:val="FF0000"/>
      </w:rPr>
    </w:pPr>
    <w:r w:rsidRPr="00DB22E1">
      <w:rPr>
        <w:rFonts w:ascii="Times New Roman" w:hAnsi="Times New Roman" w:cs="Times New Roman"/>
        <w:i/>
        <w:iCs/>
        <w:color w:val="FF0000"/>
      </w:rPr>
      <w:t>Dokument należy podpisać kwalifikowanym podpisem elektronicznym,</w:t>
    </w:r>
  </w:p>
  <w:p w:rsidR="00DB22E1" w:rsidRPr="00DB22E1" w:rsidRDefault="00DB22E1" w:rsidP="00DB22E1">
    <w:pPr>
      <w:pStyle w:val="Stopka"/>
      <w:jc w:val="right"/>
      <w:rPr>
        <w:rFonts w:ascii="Times New Roman" w:hAnsi="Times New Roman" w:cs="Times New Roman"/>
      </w:rPr>
    </w:pPr>
    <w:r w:rsidRPr="00DB22E1">
      <w:rPr>
        <w:rFonts w:ascii="Times New Roman" w:hAnsi="Times New Roman" w:cs="Times New Roman"/>
        <w:i/>
        <w:iCs/>
        <w:color w:val="FF0000"/>
      </w:rPr>
      <w:t xml:space="preserve"> podpisem osobistym lub podpisem zaufanym pod rygorem nieważności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40B7" w:rsidRDefault="006740B7" w:rsidP="006740B7">
      <w:pPr>
        <w:spacing w:after="0" w:line="240" w:lineRule="auto"/>
      </w:pPr>
      <w:r>
        <w:separator/>
      </w:r>
    </w:p>
  </w:footnote>
  <w:footnote w:type="continuationSeparator" w:id="0">
    <w:p w:rsidR="006740B7" w:rsidRDefault="006740B7" w:rsidP="006740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0B7" w:rsidRDefault="006740B7" w:rsidP="006740B7">
    <w:pPr>
      <w:pStyle w:val="Nagwek"/>
      <w:tabs>
        <w:tab w:val="right" w:pos="14002"/>
      </w:tabs>
      <w:jc w:val="right"/>
      <w:rPr>
        <w:rFonts w:cstheme="minorHAnsi"/>
        <w:i/>
        <w:sz w:val="24"/>
        <w:szCs w:val="24"/>
        <w:lang w:eastAsia="pl-PL"/>
      </w:rPr>
    </w:pPr>
    <w:r>
      <w:rPr>
        <w:rFonts w:cstheme="minorHAnsi"/>
        <w:i/>
        <w:sz w:val="24"/>
        <w:szCs w:val="24"/>
        <w:lang w:eastAsia="pl-PL"/>
      </w:rPr>
      <w:t>Załącznik nr 1 do SWZ znak WT.2370.1</w:t>
    </w:r>
    <w:r w:rsidR="00FE2CBA">
      <w:rPr>
        <w:rFonts w:cstheme="minorHAnsi"/>
        <w:i/>
        <w:sz w:val="24"/>
        <w:szCs w:val="24"/>
        <w:lang w:eastAsia="pl-PL"/>
      </w:rPr>
      <w:t>2</w:t>
    </w:r>
    <w:r>
      <w:rPr>
        <w:rFonts w:cstheme="minorHAnsi"/>
        <w:i/>
        <w:sz w:val="24"/>
        <w:szCs w:val="24"/>
        <w:lang w:eastAsia="pl-PL"/>
      </w:rPr>
      <w:t>.202</w:t>
    </w:r>
    <w:r w:rsidR="000C386E">
      <w:rPr>
        <w:rFonts w:cstheme="minorHAnsi"/>
        <w:i/>
        <w:sz w:val="24"/>
        <w:szCs w:val="24"/>
        <w:lang w:eastAsia="pl-PL"/>
      </w:rPr>
      <w:t>5</w:t>
    </w:r>
  </w:p>
  <w:p w:rsidR="00C220E5" w:rsidRDefault="00C220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50E869E2"/>
    <w:name w:val="WWNum2"/>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 w15:restartNumberingAfterBreak="0">
    <w:nsid w:val="00000004"/>
    <w:multiLevelType w:val="multilevel"/>
    <w:tmpl w:val="17269324"/>
    <w:name w:val="WWNum3"/>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3" w15:restartNumberingAfterBreak="0">
    <w:nsid w:val="00000005"/>
    <w:multiLevelType w:val="multilevel"/>
    <w:tmpl w:val="F028B80C"/>
    <w:name w:val="WWNum6"/>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4" w15:restartNumberingAfterBreak="0">
    <w:nsid w:val="00000006"/>
    <w:multiLevelType w:val="multilevel"/>
    <w:tmpl w:val="872E84AA"/>
    <w:name w:val="WWNum7"/>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5" w15:restartNumberingAfterBreak="0">
    <w:nsid w:val="00000008"/>
    <w:multiLevelType w:val="multilevel"/>
    <w:tmpl w:val="B83EB6AE"/>
    <w:name w:val="WWNum9"/>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6" w15:restartNumberingAfterBreak="0">
    <w:nsid w:val="00000009"/>
    <w:multiLevelType w:val="multilevel"/>
    <w:tmpl w:val="F002246C"/>
    <w:name w:val="WWNum11"/>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7" w15:restartNumberingAfterBreak="0">
    <w:nsid w:val="00000011"/>
    <w:multiLevelType w:val="multilevel"/>
    <w:tmpl w:val="49360D74"/>
    <w:name w:val="WWNum21"/>
    <w:lvl w:ilvl="0">
      <w:start w:val="1"/>
      <w:numFmt w:val="lowerLetter"/>
      <w:lvlText w:val="%1)"/>
      <w:lvlJc w:val="left"/>
      <w:pPr>
        <w:tabs>
          <w:tab w:val="num" w:pos="0"/>
        </w:tabs>
        <w:ind w:left="360" w:hanging="360"/>
      </w:pPr>
      <w:rPr>
        <w:rFonts w:ascii="Times New Roman" w:eastAsia="Times New Roman" w:hAnsi="Times New Roman" w:cs="Times New Roman"/>
        <w:color w:val="00000A"/>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8" w15:restartNumberingAfterBreak="0">
    <w:nsid w:val="00000012"/>
    <w:multiLevelType w:val="multilevel"/>
    <w:tmpl w:val="C9B6E262"/>
    <w:name w:val="WWNum22"/>
    <w:lvl w:ilvl="0">
      <w:start w:val="1"/>
      <w:numFmt w:val="lowerLetter"/>
      <w:lvlText w:val="%1)"/>
      <w:lvlJc w:val="left"/>
      <w:pPr>
        <w:tabs>
          <w:tab w:val="num" w:pos="0"/>
        </w:tabs>
        <w:ind w:left="360" w:hanging="360"/>
      </w:pPr>
      <w:rPr>
        <w:rFonts w:ascii="Times New Roman" w:eastAsia="Times New Roman" w:hAnsi="Times New Roman" w:cs="Times New Roman"/>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93A34A2"/>
    <w:multiLevelType w:val="singleLevel"/>
    <w:tmpl w:val="E2101A94"/>
    <w:lvl w:ilvl="0">
      <w:start w:val="1"/>
      <w:numFmt w:val="bullet"/>
      <w:lvlText w:val=""/>
      <w:lvlJc w:val="left"/>
      <w:pPr>
        <w:tabs>
          <w:tab w:val="num" w:pos="360"/>
        </w:tabs>
        <w:ind w:left="170" w:hanging="170"/>
      </w:pPr>
      <w:rPr>
        <w:rFonts w:ascii="Wingdings" w:hAnsi="Wingdings" w:hint="default"/>
        <w:b w:val="0"/>
        <w:i w:val="0"/>
        <w:strike w:val="0"/>
        <w:dstrike w:val="0"/>
        <w:sz w:val="16"/>
        <w:u w:val="none"/>
        <w:effect w:val="none"/>
      </w:rPr>
    </w:lvl>
  </w:abstractNum>
  <w:abstractNum w:abstractNumId="10" w15:restartNumberingAfterBreak="0">
    <w:nsid w:val="1B9B4469"/>
    <w:multiLevelType w:val="hybridMultilevel"/>
    <w:tmpl w:val="91EECF22"/>
    <w:lvl w:ilvl="0" w:tplc="CE02C6A8">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BCD49D5"/>
    <w:multiLevelType w:val="hybridMultilevel"/>
    <w:tmpl w:val="0DDCEC76"/>
    <w:lvl w:ilvl="0" w:tplc="EAF8B4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2B41E4"/>
    <w:multiLevelType w:val="hybridMultilevel"/>
    <w:tmpl w:val="742A072A"/>
    <w:lvl w:ilvl="0" w:tplc="21946C62">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45213A5"/>
    <w:multiLevelType w:val="hybridMultilevel"/>
    <w:tmpl w:val="4F783C6A"/>
    <w:lvl w:ilvl="0" w:tplc="18304DBA">
      <w:start w:val="1"/>
      <w:numFmt w:val="lowerLetter"/>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703969"/>
    <w:multiLevelType w:val="hybridMultilevel"/>
    <w:tmpl w:val="977E6B9A"/>
    <w:lvl w:ilvl="0" w:tplc="55FC3E18">
      <w:start w:val="1"/>
      <w:numFmt w:val="bullet"/>
      <w:lvlText w:val=""/>
      <w:lvlJc w:val="left"/>
      <w:pPr>
        <w:ind w:left="502" w:hanging="360"/>
      </w:pPr>
      <w:rPr>
        <w:rFonts w:ascii="Symbol" w:hAnsi="Symbol" w:hint="default"/>
        <w:color w:val="auto"/>
        <w:sz w:val="20"/>
      </w:rPr>
    </w:lvl>
    <w:lvl w:ilvl="1" w:tplc="04150003">
      <w:start w:val="1"/>
      <w:numFmt w:val="bullet"/>
      <w:lvlText w:val="o"/>
      <w:lvlJc w:val="left"/>
      <w:pPr>
        <w:ind w:left="1800" w:hanging="360"/>
      </w:pPr>
      <w:rPr>
        <w:rFonts w:ascii="Courier New" w:hAnsi="Courier New" w:cs="Times New Roman"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AFD7057"/>
    <w:multiLevelType w:val="hybridMultilevel"/>
    <w:tmpl w:val="5EC06F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96205B"/>
    <w:multiLevelType w:val="hybridMultilevel"/>
    <w:tmpl w:val="9E5E1A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77054E"/>
    <w:multiLevelType w:val="hybridMultilevel"/>
    <w:tmpl w:val="A5A2C884"/>
    <w:lvl w:ilvl="0" w:tplc="E1EC9F3C">
      <w:start w:val="1"/>
      <w:numFmt w:val="bullet"/>
      <w:lvlText w:val="-"/>
      <w:lvlJc w:val="left"/>
      <w:pPr>
        <w:ind w:left="720" w:hanging="360"/>
      </w:pPr>
      <w:rPr>
        <w:rFonts w:ascii="Times New Roman" w:eastAsia="Times New Roman" w:hAnsi="Times New Roman" w:hint="default"/>
        <w:color w:val="auto"/>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522019"/>
    <w:multiLevelType w:val="multilevel"/>
    <w:tmpl w:val="4D481E72"/>
    <w:lvl w:ilvl="0">
      <w:start w:val="1"/>
      <w:numFmt w:val="lowerLetter"/>
      <w:lvlText w:val="%1)"/>
      <w:lvlJc w:val="left"/>
      <w:pPr>
        <w:tabs>
          <w:tab w:val="num" w:pos="360"/>
        </w:tabs>
        <w:ind w:left="360" w:hanging="360"/>
      </w:pPr>
      <w:rPr>
        <w:rFonts w:ascii="Times New Roman" w:eastAsia="Times New Roman" w:hAnsi="Times New Roman" w:cs="Times New Roman"/>
        <w:color w:val="auto"/>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18"/>
  </w:num>
  <w:num w:numId="12">
    <w:abstractNumId w:val="11"/>
  </w:num>
  <w:num w:numId="13">
    <w:abstractNumId w:val="16"/>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4"/>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700"/>
    <w:rsid w:val="000379AF"/>
    <w:rsid w:val="00087F69"/>
    <w:rsid w:val="00096BED"/>
    <w:rsid w:val="000B57A5"/>
    <w:rsid w:val="000C386E"/>
    <w:rsid w:val="000F6885"/>
    <w:rsid w:val="0015405D"/>
    <w:rsid w:val="0016585C"/>
    <w:rsid w:val="001F3E50"/>
    <w:rsid w:val="001F57BF"/>
    <w:rsid w:val="00261330"/>
    <w:rsid w:val="002727A5"/>
    <w:rsid w:val="002749D1"/>
    <w:rsid w:val="00323E28"/>
    <w:rsid w:val="00357FF8"/>
    <w:rsid w:val="00367B1A"/>
    <w:rsid w:val="00397792"/>
    <w:rsid w:val="003B4DA5"/>
    <w:rsid w:val="003D1451"/>
    <w:rsid w:val="004167AC"/>
    <w:rsid w:val="004312C9"/>
    <w:rsid w:val="004A32CA"/>
    <w:rsid w:val="004C2D58"/>
    <w:rsid w:val="004F5CE5"/>
    <w:rsid w:val="00541289"/>
    <w:rsid w:val="005774FF"/>
    <w:rsid w:val="005D108B"/>
    <w:rsid w:val="005D47F1"/>
    <w:rsid w:val="005D5E28"/>
    <w:rsid w:val="00622ABD"/>
    <w:rsid w:val="006740B7"/>
    <w:rsid w:val="006830E4"/>
    <w:rsid w:val="00691D21"/>
    <w:rsid w:val="006D1D95"/>
    <w:rsid w:val="006F2F91"/>
    <w:rsid w:val="006F449E"/>
    <w:rsid w:val="00704818"/>
    <w:rsid w:val="0071402A"/>
    <w:rsid w:val="00753580"/>
    <w:rsid w:val="007536CF"/>
    <w:rsid w:val="00827DEF"/>
    <w:rsid w:val="00856E9A"/>
    <w:rsid w:val="008762BB"/>
    <w:rsid w:val="009654DF"/>
    <w:rsid w:val="009B2569"/>
    <w:rsid w:val="009F302A"/>
    <w:rsid w:val="00A13D20"/>
    <w:rsid w:val="00A17246"/>
    <w:rsid w:val="00A45E1C"/>
    <w:rsid w:val="00A73DC6"/>
    <w:rsid w:val="00A76DEE"/>
    <w:rsid w:val="00A86701"/>
    <w:rsid w:val="00A87614"/>
    <w:rsid w:val="00AC499F"/>
    <w:rsid w:val="00AE1052"/>
    <w:rsid w:val="00AE2700"/>
    <w:rsid w:val="00B15D64"/>
    <w:rsid w:val="00B22413"/>
    <w:rsid w:val="00B31D83"/>
    <w:rsid w:val="00B83F6F"/>
    <w:rsid w:val="00BB40D3"/>
    <w:rsid w:val="00C10858"/>
    <w:rsid w:val="00C220E5"/>
    <w:rsid w:val="00C40E30"/>
    <w:rsid w:val="00CA2442"/>
    <w:rsid w:val="00D33DAC"/>
    <w:rsid w:val="00D629BA"/>
    <w:rsid w:val="00DB22E1"/>
    <w:rsid w:val="00DC1278"/>
    <w:rsid w:val="00DC5AA7"/>
    <w:rsid w:val="00DD12E3"/>
    <w:rsid w:val="00DE0DF9"/>
    <w:rsid w:val="00DE4872"/>
    <w:rsid w:val="00DF74C6"/>
    <w:rsid w:val="00E738C0"/>
    <w:rsid w:val="00E85A5B"/>
    <w:rsid w:val="00F45163"/>
    <w:rsid w:val="00F62F99"/>
    <w:rsid w:val="00FA4678"/>
    <w:rsid w:val="00FD169D"/>
    <w:rsid w:val="00FE2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52A04"/>
  <w15:chartTrackingRefBased/>
  <w15:docId w15:val="{2EDB5042-FAC6-41CC-BE1F-89558B179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22E1"/>
  </w:style>
  <w:style w:type="paragraph" w:styleId="Nagwek2">
    <w:name w:val="heading 2"/>
    <w:basedOn w:val="Normalny"/>
    <w:next w:val="Tekstpodstawowy"/>
    <w:link w:val="Nagwek2Znak"/>
    <w:qFormat/>
    <w:rsid w:val="00AE2700"/>
    <w:pPr>
      <w:keepNext/>
      <w:numPr>
        <w:ilvl w:val="1"/>
        <w:numId w:val="1"/>
      </w:numPr>
      <w:suppressAutoHyphens/>
      <w:spacing w:after="0" w:line="240" w:lineRule="auto"/>
      <w:ind w:left="540" w:hanging="540"/>
      <w:outlineLvl w:val="1"/>
    </w:pPr>
    <w:rPr>
      <w:rFonts w:ascii="Times New Roman" w:eastAsia="Times New Roman" w:hAnsi="Times New Roman" w:cs="Times New Roman"/>
      <w:b/>
      <w:bCs/>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AE2700"/>
    <w:rPr>
      <w:rFonts w:ascii="Times New Roman" w:eastAsia="Times New Roman" w:hAnsi="Times New Roman" w:cs="Times New Roman"/>
      <w:b/>
      <w:bCs/>
      <w:sz w:val="24"/>
      <w:szCs w:val="24"/>
      <w:lang w:eastAsia="ar-SA"/>
    </w:rPr>
  </w:style>
  <w:style w:type="numbering" w:customStyle="1" w:styleId="Bezlisty1">
    <w:name w:val="Bez listy1"/>
    <w:next w:val="Bezlisty"/>
    <w:uiPriority w:val="99"/>
    <w:semiHidden/>
    <w:unhideWhenUsed/>
    <w:rsid w:val="00AE2700"/>
  </w:style>
  <w:style w:type="character" w:customStyle="1" w:styleId="Heading1Char">
    <w:name w:val="Heading 1 Char"/>
    <w:rsid w:val="00AE2700"/>
    <w:rPr>
      <w:rFonts w:ascii="Cambria" w:hAnsi="Cambria" w:cs="Times New Roman"/>
      <w:b/>
      <w:bCs/>
      <w:kern w:val="1"/>
      <w:sz w:val="32"/>
      <w:szCs w:val="32"/>
    </w:rPr>
  </w:style>
  <w:style w:type="paragraph" w:styleId="Tekstpodstawowy">
    <w:name w:val="Body Text"/>
    <w:basedOn w:val="Normalny"/>
    <w:link w:val="TekstpodstawowyZnak"/>
    <w:rsid w:val="00AE2700"/>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AE2700"/>
    <w:rPr>
      <w:rFonts w:ascii="Times New Roman" w:eastAsia="Times New Roman" w:hAnsi="Times New Roman" w:cs="Times New Roman"/>
      <w:sz w:val="24"/>
      <w:szCs w:val="20"/>
      <w:lang w:eastAsia="ar-SA"/>
    </w:rPr>
  </w:style>
  <w:style w:type="paragraph" w:customStyle="1" w:styleId="Tekstprzypisukocowego1">
    <w:name w:val="Tekst przypisu końcowego1"/>
    <w:basedOn w:val="Normalny"/>
    <w:rsid w:val="00AE2700"/>
    <w:pPr>
      <w:suppressAutoHyphens/>
      <w:spacing w:after="0" w:line="240" w:lineRule="auto"/>
    </w:pPr>
    <w:rPr>
      <w:rFonts w:ascii="Times New Roman" w:eastAsia="Times New Roman" w:hAnsi="Times New Roman" w:cs="Times New Roman"/>
      <w:sz w:val="20"/>
      <w:szCs w:val="20"/>
      <w:lang w:eastAsia="ar-SA"/>
    </w:rPr>
  </w:style>
  <w:style w:type="paragraph" w:styleId="Akapitzlist">
    <w:name w:val="List Paragraph"/>
    <w:basedOn w:val="Normalny"/>
    <w:qFormat/>
    <w:rsid w:val="00AE2700"/>
    <w:pPr>
      <w:suppressAutoHyphens/>
      <w:spacing w:after="200" w:line="276" w:lineRule="auto"/>
      <w:ind w:left="720"/>
    </w:pPr>
    <w:rPr>
      <w:rFonts w:ascii="Calibri" w:eastAsia="Times New Roman" w:hAnsi="Calibri" w:cs="Times New Roman"/>
      <w:lang w:eastAsia="ar-SA"/>
    </w:rPr>
  </w:style>
  <w:style w:type="paragraph" w:customStyle="1" w:styleId="Akapitzlist1">
    <w:name w:val="Akapit z listą1"/>
    <w:aliases w:val="CW_Lista"/>
    <w:basedOn w:val="Normalny"/>
    <w:link w:val="ListParagraphChar"/>
    <w:rsid w:val="00AE2700"/>
    <w:pPr>
      <w:ind w:left="720"/>
      <w:contextualSpacing/>
    </w:pPr>
    <w:rPr>
      <w:rFonts w:ascii="Calibri" w:eastAsia="Times New Roman" w:hAnsi="Calibri" w:cs="Times New Roman"/>
    </w:rPr>
  </w:style>
  <w:style w:type="character" w:customStyle="1" w:styleId="ListParagraphChar">
    <w:name w:val="List Paragraph Char"/>
    <w:aliases w:val="CW_Lista Char"/>
    <w:link w:val="Akapitzlist1"/>
    <w:locked/>
    <w:rsid w:val="00AE2700"/>
    <w:rPr>
      <w:rFonts w:ascii="Calibri" w:eastAsia="Times New Roman" w:hAnsi="Calibri" w:cs="Times New Roman"/>
    </w:rPr>
  </w:style>
  <w:style w:type="character" w:customStyle="1" w:styleId="Bodytext2">
    <w:name w:val="Body text (2)"/>
    <w:rsid w:val="00AE2700"/>
    <w:rPr>
      <w:rFonts w:ascii="Arial" w:hAnsi="Arial" w:cs="Arial"/>
      <w:color w:val="000000"/>
      <w:spacing w:val="0"/>
      <w:w w:val="100"/>
      <w:position w:val="0"/>
      <w:sz w:val="21"/>
      <w:szCs w:val="21"/>
      <w:u w:val="none"/>
      <w:lang w:val="pl-PL" w:eastAsia="pl-PL"/>
    </w:rPr>
  </w:style>
  <w:style w:type="paragraph" w:customStyle="1" w:styleId="Default">
    <w:name w:val="Default"/>
    <w:rsid w:val="00AE2700"/>
    <w:pPr>
      <w:autoSpaceDE w:val="0"/>
      <w:autoSpaceDN w:val="0"/>
      <w:adjustRightInd w:val="0"/>
      <w:spacing w:after="0" w:line="240" w:lineRule="auto"/>
    </w:pPr>
    <w:rPr>
      <w:rFonts w:ascii="Arial" w:eastAsia="Calibri" w:hAnsi="Arial" w:cs="Arial"/>
      <w:color w:val="000000"/>
      <w:sz w:val="24"/>
      <w:szCs w:val="24"/>
    </w:rPr>
  </w:style>
  <w:style w:type="paragraph" w:styleId="Tekstprzypisukocowego">
    <w:name w:val="endnote text"/>
    <w:basedOn w:val="Normalny"/>
    <w:link w:val="TekstprzypisukocowegoZnak"/>
    <w:rsid w:val="00AE2700"/>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AE2700"/>
    <w:rPr>
      <w:rFonts w:ascii="Times New Roman" w:eastAsia="Times New Roman" w:hAnsi="Times New Roman" w:cs="Times New Roman"/>
      <w:sz w:val="20"/>
      <w:szCs w:val="20"/>
      <w:lang w:eastAsia="pl-PL"/>
    </w:rPr>
  </w:style>
  <w:style w:type="paragraph" w:customStyle="1" w:styleId="Standard">
    <w:name w:val="Standard"/>
    <w:rsid w:val="00AE2700"/>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h1">
    <w:name w:val="h1"/>
    <w:basedOn w:val="Domylnaczcionkaakapitu"/>
    <w:rsid w:val="00704818"/>
  </w:style>
  <w:style w:type="paragraph" w:styleId="Tekstdymka">
    <w:name w:val="Balloon Text"/>
    <w:basedOn w:val="Normalny"/>
    <w:link w:val="TekstdymkaZnak"/>
    <w:uiPriority w:val="99"/>
    <w:semiHidden/>
    <w:unhideWhenUsed/>
    <w:rsid w:val="004312C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2C9"/>
    <w:rPr>
      <w:rFonts w:ascii="Segoe UI" w:hAnsi="Segoe UI" w:cs="Segoe UI"/>
      <w:sz w:val="18"/>
      <w:szCs w:val="18"/>
    </w:rPr>
  </w:style>
  <w:style w:type="paragraph" w:customStyle="1" w:styleId="Styl1">
    <w:name w:val="Styl1"/>
    <w:basedOn w:val="Normalny"/>
    <w:uiPriority w:val="99"/>
    <w:rsid w:val="00B15D64"/>
    <w:pPr>
      <w:widowControl w:val="0"/>
      <w:suppressAutoHyphens/>
      <w:spacing w:after="0" w:line="240" w:lineRule="auto"/>
      <w:jc w:val="both"/>
    </w:pPr>
    <w:rPr>
      <w:rFonts w:ascii="Times New Roman" w:eastAsia="Times New Roman" w:hAnsi="Times New Roman" w:cs="Times New Roman"/>
      <w:sz w:val="24"/>
      <w:szCs w:val="24"/>
      <w:lang w:eastAsia="ar-SA"/>
    </w:rPr>
  </w:style>
  <w:style w:type="paragraph" w:styleId="Nagwek">
    <w:name w:val="header"/>
    <w:basedOn w:val="Normalny"/>
    <w:link w:val="NagwekZnak"/>
    <w:unhideWhenUsed/>
    <w:qFormat/>
    <w:rsid w:val="006740B7"/>
    <w:pPr>
      <w:tabs>
        <w:tab w:val="center" w:pos="4536"/>
        <w:tab w:val="right" w:pos="9072"/>
      </w:tabs>
      <w:spacing w:after="0" w:line="240" w:lineRule="auto"/>
    </w:pPr>
  </w:style>
  <w:style w:type="character" w:customStyle="1" w:styleId="NagwekZnak">
    <w:name w:val="Nagłówek Znak"/>
    <w:basedOn w:val="Domylnaczcionkaakapitu"/>
    <w:link w:val="Nagwek"/>
    <w:rsid w:val="006740B7"/>
  </w:style>
  <w:style w:type="paragraph" w:styleId="Stopka">
    <w:name w:val="footer"/>
    <w:basedOn w:val="Normalny"/>
    <w:link w:val="StopkaZnak"/>
    <w:unhideWhenUsed/>
    <w:rsid w:val="006740B7"/>
    <w:pPr>
      <w:tabs>
        <w:tab w:val="center" w:pos="4536"/>
        <w:tab w:val="right" w:pos="9072"/>
      </w:tabs>
      <w:spacing w:after="0" w:line="240" w:lineRule="auto"/>
    </w:pPr>
  </w:style>
  <w:style w:type="character" w:customStyle="1" w:styleId="StopkaZnak">
    <w:name w:val="Stopka Znak"/>
    <w:basedOn w:val="Domylnaczcionkaakapitu"/>
    <w:link w:val="Stopka"/>
    <w:rsid w:val="006740B7"/>
  </w:style>
  <w:style w:type="character" w:customStyle="1" w:styleId="yrbpuc">
    <w:name w:val="yrbpuc"/>
    <w:basedOn w:val="Domylnaczcionkaakapitu"/>
    <w:rsid w:val="000C3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951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4372A9-B3F5-4F36-B16C-81ABA830F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3</Pages>
  <Words>655</Words>
  <Characters>3935</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Kamińska</dc:creator>
  <cp:keywords/>
  <dc:description/>
  <cp:lastModifiedBy>Marta Bigda</cp:lastModifiedBy>
  <cp:revision>9</cp:revision>
  <cp:lastPrinted>2025-05-16T08:50:00Z</cp:lastPrinted>
  <dcterms:created xsi:type="dcterms:W3CDTF">2025-04-14T08:01:00Z</dcterms:created>
  <dcterms:modified xsi:type="dcterms:W3CDTF">2025-05-16T08:50:00Z</dcterms:modified>
</cp:coreProperties>
</file>