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3E666" w14:textId="77777777" w:rsidR="001E048A" w:rsidRPr="004A7296" w:rsidRDefault="007A54A6">
      <w:pPr>
        <w:pStyle w:val="Standard"/>
        <w:spacing w:line="360" w:lineRule="auto"/>
        <w:jc w:val="right"/>
        <w:rPr>
          <w:b/>
          <w:bCs/>
        </w:rPr>
      </w:pPr>
      <w:r w:rsidRPr="004A7296">
        <w:rPr>
          <w:b/>
          <w:bCs/>
        </w:rPr>
        <w:t>Załącznik nr 11 do SWZ</w:t>
      </w:r>
    </w:p>
    <w:p w14:paraId="14606018" w14:textId="015AB60E" w:rsidR="004A7296" w:rsidRPr="004A7296" w:rsidRDefault="004A7296" w:rsidP="004A7296">
      <w:pPr>
        <w:widowControl/>
        <w:autoSpaceDN/>
        <w:spacing w:after="0" w:line="240" w:lineRule="auto"/>
        <w:jc w:val="center"/>
        <w:textAlignment w:val="auto"/>
        <w:rPr>
          <w:rFonts w:eastAsia="Times New Roman" w:cs="Calibri"/>
          <w:b/>
          <w:kern w:val="0"/>
          <w:sz w:val="24"/>
          <w:szCs w:val="24"/>
          <w:lang w:eastAsia="pl-PL"/>
        </w:rPr>
      </w:pPr>
      <w:r w:rsidRPr="004A7296">
        <w:rPr>
          <w:rFonts w:eastAsia="Times New Roman" w:cs="Calibri"/>
          <w:bCs/>
          <w:kern w:val="0"/>
          <w:sz w:val="24"/>
          <w:szCs w:val="24"/>
          <w:lang w:eastAsia="ar-SA"/>
        </w:rPr>
        <w:t>Dotyczy: postępowania prowadzonego w trybie przetargu nieograniczonego na</w:t>
      </w:r>
      <w:r w:rsidRPr="004A7296">
        <w:rPr>
          <w:rFonts w:eastAsia="Times New Roman" w:cs="Calibri"/>
          <w:b/>
          <w:kern w:val="0"/>
          <w:sz w:val="24"/>
          <w:szCs w:val="24"/>
          <w:lang w:eastAsia="ar-SA"/>
        </w:rPr>
        <w:t xml:space="preserve">:  </w:t>
      </w:r>
      <w:r w:rsidRPr="004A7296">
        <w:rPr>
          <w:rFonts w:eastAsia="Times New Roman" w:cs="Calibri"/>
          <w:b/>
          <w:kern w:val="0"/>
          <w:sz w:val="24"/>
          <w:szCs w:val="24"/>
          <w:lang w:eastAsia="ar-SA"/>
        </w:rPr>
        <w:br/>
        <w:t>„Świadczenie usług w zakresie przygotowania i dostarczania całodziennego wyżywienia dla pacjentów Szpitala z uwzględnieniem zaleceń dietetycznych</w:t>
      </w:r>
      <w:r w:rsidR="00F32816">
        <w:rPr>
          <w:rFonts w:eastAsia="Times New Roman" w:cs="Calibri"/>
          <w:b/>
          <w:kern w:val="0"/>
          <w:sz w:val="24"/>
          <w:szCs w:val="24"/>
          <w:lang w:eastAsia="ar-SA"/>
        </w:rPr>
        <w:t>,</w:t>
      </w:r>
      <w:r w:rsidRPr="004A7296">
        <w:rPr>
          <w:rFonts w:eastAsia="Times New Roman" w:cs="Calibri"/>
          <w:b/>
          <w:kern w:val="0"/>
          <w:sz w:val="24"/>
          <w:szCs w:val="24"/>
          <w:lang w:eastAsia="ar-SA"/>
        </w:rPr>
        <w:t xml:space="preserve">” </w:t>
      </w:r>
      <w:r w:rsidRPr="004A7296">
        <w:rPr>
          <w:rFonts w:eastAsia="Calibri" w:cs="Calibri"/>
          <w:bCs/>
          <w:kern w:val="0"/>
          <w:sz w:val="24"/>
          <w:szCs w:val="24"/>
        </w:rPr>
        <w:t>nr sprawy</w:t>
      </w:r>
      <w:r w:rsidRPr="004A7296">
        <w:rPr>
          <w:rFonts w:eastAsia="Calibri" w:cs="Calibri"/>
          <w:b/>
          <w:kern w:val="0"/>
          <w:sz w:val="24"/>
          <w:szCs w:val="24"/>
        </w:rPr>
        <w:t xml:space="preserve">: </w:t>
      </w:r>
      <w:bookmarkStart w:id="0" w:name="_GoBack"/>
      <w:bookmarkEnd w:id="0"/>
    </w:p>
    <w:p w14:paraId="17765BB4" w14:textId="77777777" w:rsidR="004A7296" w:rsidRDefault="004A7296" w:rsidP="004A7296">
      <w:pPr>
        <w:pStyle w:val="Standard"/>
        <w:spacing w:line="360" w:lineRule="auto"/>
        <w:rPr>
          <w:b/>
          <w:bCs/>
        </w:rPr>
      </w:pPr>
    </w:p>
    <w:p w14:paraId="666AAF9E" w14:textId="56E245F5" w:rsidR="001E048A" w:rsidRPr="004A7296" w:rsidRDefault="00F32816" w:rsidP="004A7296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W</w:t>
      </w:r>
      <w:r w:rsidRPr="004A7296">
        <w:rPr>
          <w:b/>
          <w:bCs/>
        </w:rPr>
        <w:t>YKAZ DIET STOSOWANYCH U PACJENTÓW HOSPITALIZOWANYCH</w:t>
      </w:r>
    </w:p>
    <w:tbl>
      <w:tblPr>
        <w:tblW w:w="98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2972"/>
        <w:gridCol w:w="6379"/>
      </w:tblGrid>
      <w:tr w:rsidR="001E048A" w14:paraId="410C8F62" w14:textId="77777777"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03510" w14:textId="77777777" w:rsidR="001E048A" w:rsidRDefault="007A54A6">
            <w:pPr>
              <w:pStyle w:val="TableContents"/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07989" w14:textId="77777777" w:rsidR="001E048A" w:rsidRDefault="007A54A6">
            <w:pPr>
              <w:pStyle w:val="TableContents"/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>nazwa diety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344A1" w14:textId="77777777" w:rsidR="001E048A" w:rsidRDefault="007A54A6">
            <w:pPr>
              <w:pStyle w:val="TableContents"/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>zastosowanie diety (wskazania)</w:t>
            </w:r>
          </w:p>
        </w:tc>
      </w:tr>
      <w:tr w:rsidR="001E048A" w14:paraId="3AFF061D" w14:textId="77777777"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5739A" w14:textId="77777777" w:rsidR="001E048A" w:rsidRDefault="007A54A6">
            <w:pPr>
              <w:pStyle w:val="TableContents"/>
              <w:jc w:val="center"/>
            </w:pPr>
            <w:r>
              <w:rPr>
                <w:rFonts w:ascii="Calibri" w:eastAsia="helvl" w:hAnsi="Calibri" w:cs="Calibri"/>
                <w:sz w:val="22"/>
                <w:szCs w:val="22"/>
              </w:rPr>
              <w:t>01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0A773" w14:textId="77777777" w:rsidR="001E048A" w:rsidRDefault="007A54A6">
            <w:pPr>
              <w:pStyle w:val="TableContents"/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>dieta podstawowa</w:t>
            </w:r>
          </w:p>
          <w:p w14:paraId="5274ABB6" w14:textId="77777777" w:rsidR="001E048A" w:rsidRDefault="001E048A">
            <w:pPr>
              <w:pStyle w:val="TableContents"/>
              <w:rPr>
                <w:rFonts w:ascii="Calibri" w:eastAsia="helvl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C4327" w14:textId="77777777" w:rsidR="001E048A" w:rsidRDefault="007A54A6">
            <w:pPr>
              <w:pStyle w:val="TableContents"/>
              <w:numPr>
                <w:ilvl w:val="0"/>
                <w:numId w:val="2"/>
              </w:numPr>
              <w:ind w:left="375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 xml:space="preserve">u osób nie wymagających specjalnych modyfikacji dietetycznych, </w:t>
            </w:r>
          </w:p>
          <w:p w14:paraId="62D9076F" w14:textId="77777777" w:rsidR="001E048A" w:rsidRDefault="007A54A6">
            <w:pPr>
              <w:pStyle w:val="TableContents"/>
              <w:numPr>
                <w:ilvl w:val="0"/>
                <w:numId w:val="2"/>
              </w:numPr>
              <w:ind w:left="375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>powinna spełniać wszystkie warunki prawidłowego żywienia ludzi zdrowych,</w:t>
            </w:r>
          </w:p>
        </w:tc>
      </w:tr>
      <w:tr w:rsidR="001E048A" w14:paraId="3715B986" w14:textId="77777777"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A69BD" w14:textId="77777777" w:rsidR="001E048A" w:rsidRDefault="007A54A6">
            <w:pPr>
              <w:pStyle w:val="TableContents"/>
              <w:jc w:val="center"/>
            </w:pPr>
            <w:r>
              <w:rPr>
                <w:rFonts w:ascii="Calibri" w:eastAsia="helvl" w:hAnsi="Calibri" w:cs="Calibri"/>
                <w:sz w:val="22"/>
                <w:szCs w:val="22"/>
              </w:rPr>
              <w:t>02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76462" w14:textId="77777777" w:rsidR="001E048A" w:rsidRDefault="007A54A6">
            <w:pPr>
              <w:pStyle w:val="TableContents"/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>dieta łatwo strawna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2CC94" w14:textId="77777777" w:rsidR="001E048A" w:rsidRDefault="007A54A6">
            <w:pPr>
              <w:pStyle w:val="TableContents"/>
              <w:numPr>
                <w:ilvl w:val="0"/>
                <w:numId w:val="3"/>
              </w:numPr>
              <w:ind w:left="375" w:hanging="375"/>
            </w:pPr>
            <w:r>
              <w:rPr>
                <w:rFonts w:ascii="Calibri" w:eastAsia="helvl" w:hAnsi="Calibri" w:cs="Calibri"/>
                <w:sz w:val="22"/>
                <w:szCs w:val="22"/>
              </w:rPr>
              <w:t>po zabiegach chirurgicznych,</w:t>
            </w:r>
          </w:p>
          <w:p w14:paraId="73DF46D1" w14:textId="77777777" w:rsidR="001E048A" w:rsidRDefault="007A54A6">
            <w:pPr>
              <w:pStyle w:val="TableContents"/>
              <w:numPr>
                <w:ilvl w:val="0"/>
                <w:numId w:val="3"/>
              </w:numPr>
              <w:ind w:left="375" w:hanging="375"/>
            </w:pPr>
            <w:r>
              <w:rPr>
                <w:rFonts w:ascii="Calibri" w:eastAsia="helvl" w:hAnsi="Calibri" w:cs="Calibri"/>
                <w:sz w:val="22"/>
                <w:szCs w:val="22"/>
              </w:rPr>
              <w:t>w trakcie rekonwalescencji,</w:t>
            </w:r>
          </w:p>
          <w:p w14:paraId="57ACC645" w14:textId="77777777" w:rsidR="001E048A" w:rsidRDefault="007A54A6">
            <w:pPr>
              <w:pStyle w:val="TableContents"/>
              <w:numPr>
                <w:ilvl w:val="0"/>
                <w:numId w:val="3"/>
              </w:numPr>
              <w:ind w:left="375" w:hanging="375"/>
            </w:pPr>
            <w:r>
              <w:rPr>
                <w:rFonts w:ascii="Calibri" w:eastAsia="helvl" w:hAnsi="Calibri" w:cs="Calibri"/>
                <w:sz w:val="22"/>
                <w:szCs w:val="22"/>
              </w:rPr>
              <w:t>w chorobach zapalnych żołądka i jelit</w:t>
            </w:r>
          </w:p>
          <w:p w14:paraId="1A3F3922" w14:textId="77777777" w:rsidR="001E048A" w:rsidRDefault="007A54A6">
            <w:pPr>
              <w:pStyle w:val="TableContents"/>
              <w:numPr>
                <w:ilvl w:val="0"/>
                <w:numId w:val="3"/>
              </w:numPr>
              <w:ind w:left="375" w:hanging="375"/>
            </w:pPr>
            <w:r>
              <w:rPr>
                <w:rFonts w:ascii="Calibri" w:eastAsia="helvl" w:hAnsi="Calibri" w:cs="Calibri"/>
                <w:sz w:val="22"/>
                <w:szCs w:val="22"/>
              </w:rPr>
              <w:t xml:space="preserve">w refluksie żołądkowo-przełykowym, </w:t>
            </w:r>
          </w:p>
          <w:p w14:paraId="067F8EB1" w14:textId="77777777" w:rsidR="001E048A" w:rsidRDefault="007A54A6">
            <w:pPr>
              <w:pStyle w:val="TableContents"/>
              <w:numPr>
                <w:ilvl w:val="0"/>
                <w:numId w:val="3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przewlekłym zapaleniu wątroby, </w:t>
            </w:r>
          </w:p>
          <w:p w14:paraId="6691DEC3" w14:textId="77777777" w:rsidR="001E048A" w:rsidRDefault="007A54A6">
            <w:pPr>
              <w:pStyle w:val="TableContents"/>
              <w:numPr>
                <w:ilvl w:val="0"/>
                <w:numId w:val="3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przewlekłym zapaleniu trzustki, </w:t>
            </w:r>
          </w:p>
          <w:p w14:paraId="051BBD1B" w14:textId="77777777" w:rsidR="001E048A" w:rsidRDefault="007A54A6">
            <w:pPr>
              <w:pStyle w:val="TableContents"/>
              <w:numPr>
                <w:ilvl w:val="0"/>
                <w:numId w:val="3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infekcjach przebiegających z gorączką, </w:t>
            </w:r>
          </w:p>
          <w:p w14:paraId="14325541" w14:textId="77777777" w:rsidR="001E048A" w:rsidRDefault="007A54A6">
            <w:pPr>
              <w:pStyle w:val="TableContents"/>
              <w:numPr>
                <w:ilvl w:val="0"/>
                <w:numId w:val="3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nadpobudliwości jelita grubego, biegunkach, </w:t>
            </w:r>
          </w:p>
          <w:p w14:paraId="69FD6B0A" w14:textId="77777777" w:rsidR="001E048A" w:rsidRDefault="007A54A6">
            <w:pPr>
              <w:pStyle w:val="TableContents"/>
              <w:numPr>
                <w:ilvl w:val="0"/>
                <w:numId w:val="3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chorobach przyzębia, </w:t>
            </w:r>
          </w:p>
          <w:p w14:paraId="3A0042F6" w14:textId="77777777" w:rsidR="001E048A" w:rsidRDefault="007A54A6">
            <w:pPr>
              <w:pStyle w:val="TableContents"/>
              <w:numPr>
                <w:ilvl w:val="0"/>
                <w:numId w:val="3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żywieniu osób w podeszłym wieku, </w:t>
            </w:r>
          </w:p>
        </w:tc>
      </w:tr>
      <w:tr w:rsidR="001E048A" w14:paraId="2C1AB7A1" w14:textId="77777777">
        <w:trPr>
          <w:trHeight w:val="2087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B2192" w14:textId="77777777" w:rsidR="001E048A" w:rsidRDefault="007A54A6">
            <w:pPr>
              <w:pStyle w:val="TableContents"/>
              <w:jc w:val="center"/>
            </w:pPr>
            <w:r>
              <w:rPr>
                <w:rFonts w:ascii="Calibri" w:eastAsia="helvl" w:hAnsi="Calibri" w:cs="Calibri"/>
                <w:sz w:val="22"/>
                <w:szCs w:val="22"/>
              </w:rPr>
              <w:t>03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3BA5A" w14:textId="77777777" w:rsidR="001E048A" w:rsidRDefault="007A54A6">
            <w:pPr>
              <w:pStyle w:val="TableContents"/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>dieta łatwo strawna z ograniczeniem tłuszczu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0E024" w14:textId="77777777" w:rsidR="001E048A" w:rsidRDefault="007A54A6">
            <w:pPr>
              <w:pStyle w:val="TableContents"/>
              <w:numPr>
                <w:ilvl w:val="0"/>
                <w:numId w:val="4"/>
              </w:numPr>
              <w:ind w:left="375" w:hanging="375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 xml:space="preserve">w ostrym i przewlekłym zapaleniu wątroby, </w:t>
            </w:r>
          </w:p>
          <w:p w14:paraId="6C33AFEC" w14:textId="77777777" w:rsidR="001E048A" w:rsidRDefault="007A54A6">
            <w:pPr>
              <w:pStyle w:val="TableContents"/>
              <w:numPr>
                <w:ilvl w:val="0"/>
                <w:numId w:val="4"/>
              </w:numPr>
              <w:ind w:left="375" w:hanging="375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 xml:space="preserve">w marskością wątroby, </w:t>
            </w:r>
          </w:p>
          <w:p w14:paraId="15F0F1B0" w14:textId="77777777" w:rsidR="001E048A" w:rsidRDefault="007A54A6">
            <w:pPr>
              <w:pStyle w:val="TableContents"/>
              <w:numPr>
                <w:ilvl w:val="0"/>
                <w:numId w:val="4"/>
              </w:numPr>
              <w:ind w:left="375" w:hanging="375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 xml:space="preserve">w ostrym i przewlekłym zapaleniem trzustki, </w:t>
            </w:r>
          </w:p>
          <w:p w14:paraId="5774B7A4" w14:textId="77777777" w:rsidR="001E048A" w:rsidRDefault="007A54A6">
            <w:pPr>
              <w:pStyle w:val="TableContents"/>
              <w:numPr>
                <w:ilvl w:val="0"/>
                <w:numId w:val="4"/>
              </w:numPr>
              <w:ind w:left="375" w:hanging="375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 xml:space="preserve">w przewlekłym zapaleniem pęcherzyka i dróg żółciowych, </w:t>
            </w:r>
          </w:p>
          <w:p w14:paraId="33B5EC17" w14:textId="77777777" w:rsidR="001E048A" w:rsidRDefault="007A54A6">
            <w:pPr>
              <w:pStyle w:val="TableContents"/>
              <w:numPr>
                <w:ilvl w:val="0"/>
                <w:numId w:val="4"/>
              </w:numPr>
              <w:ind w:left="375" w:hanging="375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 xml:space="preserve">w kamicy żółciowej (pęcherzykowej i przewodowej), </w:t>
            </w:r>
          </w:p>
          <w:p w14:paraId="652EFC34" w14:textId="77777777" w:rsidR="001E048A" w:rsidRDefault="007A54A6">
            <w:pPr>
              <w:pStyle w:val="TableContents"/>
              <w:numPr>
                <w:ilvl w:val="0"/>
                <w:numId w:val="4"/>
              </w:numPr>
              <w:ind w:left="375" w:hanging="375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 xml:space="preserve">w okresie zaostrzenia wrzodziejącego zapalenie jelita grubego, </w:t>
            </w:r>
          </w:p>
          <w:p w14:paraId="568E4C87" w14:textId="77777777" w:rsidR="001E048A" w:rsidRDefault="007A54A6">
            <w:pPr>
              <w:pStyle w:val="TableContents"/>
              <w:numPr>
                <w:ilvl w:val="0"/>
                <w:numId w:val="4"/>
              </w:numPr>
              <w:ind w:left="375" w:hanging="375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 xml:space="preserve">w okresie zaostrzenia choroby </w:t>
            </w:r>
            <w:proofErr w:type="spellStart"/>
            <w:r>
              <w:rPr>
                <w:rFonts w:ascii="Calibri" w:eastAsia="helvl" w:hAnsi="Calibri" w:cs="Calibri"/>
                <w:sz w:val="22"/>
                <w:szCs w:val="22"/>
              </w:rPr>
              <w:t>leśniowskiego-crohna</w:t>
            </w:r>
            <w:proofErr w:type="spellEnd"/>
            <w:r>
              <w:rPr>
                <w:rFonts w:ascii="Calibri" w:eastAsia="helvl" w:hAnsi="Calibri" w:cs="Calibri"/>
                <w:sz w:val="22"/>
                <w:szCs w:val="22"/>
              </w:rPr>
              <w:t xml:space="preserve"> </w:t>
            </w:r>
          </w:p>
        </w:tc>
      </w:tr>
      <w:tr w:rsidR="001E048A" w14:paraId="1D4D7C84" w14:textId="77777777">
        <w:trPr>
          <w:trHeight w:val="1706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35423" w14:textId="77777777" w:rsidR="001E048A" w:rsidRDefault="007A54A6">
            <w:pPr>
              <w:pStyle w:val="TableContents"/>
              <w:jc w:val="center"/>
            </w:pPr>
            <w:r>
              <w:rPr>
                <w:rFonts w:ascii="Calibri" w:eastAsia="helvl" w:hAnsi="Calibri" w:cs="Calibri"/>
                <w:sz w:val="22"/>
                <w:szCs w:val="22"/>
              </w:rPr>
              <w:t>04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F827A" w14:textId="77777777" w:rsidR="001E048A" w:rsidRDefault="007A54A6">
            <w:pPr>
              <w:pStyle w:val="TableContents"/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>dieta łatwo strawna z ograniczeniem substancji pobudzających wydzielanie soku żołądkowego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D7244" w14:textId="77777777" w:rsidR="001E048A" w:rsidRDefault="007A54A6">
            <w:pPr>
              <w:pStyle w:val="TableContents"/>
              <w:numPr>
                <w:ilvl w:val="0"/>
                <w:numId w:val="5"/>
              </w:numPr>
              <w:ind w:left="375" w:hanging="375"/>
            </w:pPr>
            <w:r>
              <w:rPr>
                <w:rFonts w:ascii="Calibri" w:eastAsia="helvl" w:hAnsi="Calibri" w:cs="Calibri"/>
                <w:sz w:val="22"/>
                <w:szCs w:val="22"/>
              </w:rPr>
              <w:t xml:space="preserve">w chorobach zapalnych żołądka, </w:t>
            </w:r>
          </w:p>
          <w:p w14:paraId="71155C6A" w14:textId="77777777" w:rsidR="001E048A" w:rsidRDefault="007A54A6">
            <w:pPr>
              <w:pStyle w:val="TableContents"/>
              <w:numPr>
                <w:ilvl w:val="0"/>
                <w:numId w:val="5"/>
              </w:numPr>
              <w:ind w:left="375" w:hanging="375"/>
            </w:pPr>
            <w:r>
              <w:rPr>
                <w:rFonts w:ascii="Calibri" w:eastAsia="helvl" w:hAnsi="Calibri" w:cs="Calibri"/>
                <w:sz w:val="22"/>
                <w:szCs w:val="22"/>
              </w:rPr>
              <w:t xml:space="preserve">w refluksie żołądkowo-przełykowym, </w:t>
            </w:r>
          </w:p>
          <w:p w14:paraId="5B8733CF" w14:textId="77777777" w:rsidR="001E048A" w:rsidRDefault="007A54A6">
            <w:pPr>
              <w:pStyle w:val="TableContents"/>
              <w:numPr>
                <w:ilvl w:val="0"/>
                <w:numId w:val="5"/>
              </w:numPr>
              <w:ind w:left="375" w:hanging="375"/>
            </w:pPr>
            <w:r>
              <w:rPr>
                <w:rFonts w:ascii="Calibri" w:eastAsia="helvl" w:hAnsi="Calibri" w:cs="Calibri"/>
                <w:sz w:val="22"/>
                <w:szCs w:val="22"/>
              </w:rPr>
              <w:t xml:space="preserve">w chorobie wrzodowej żołądka i dwunastnicy, </w:t>
            </w:r>
          </w:p>
          <w:p w14:paraId="6CDB7C37" w14:textId="77777777" w:rsidR="001E048A" w:rsidRDefault="007A54A6">
            <w:pPr>
              <w:pStyle w:val="TableContents"/>
              <w:numPr>
                <w:ilvl w:val="0"/>
                <w:numId w:val="5"/>
              </w:numPr>
              <w:ind w:left="375" w:hanging="375"/>
            </w:pPr>
            <w:r>
              <w:rPr>
                <w:rFonts w:ascii="Calibri" w:eastAsia="helvl" w:hAnsi="Calibri" w:cs="Calibri"/>
                <w:sz w:val="22"/>
                <w:szCs w:val="22"/>
              </w:rPr>
              <w:t xml:space="preserve">w przewlekłym nadkwaśnym nieżycie żołądka, </w:t>
            </w:r>
          </w:p>
          <w:p w14:paraId="3B393906" w14:textId="77777777" w:rsidR="001E048A" w:rsidRDefault="007A54A6">
            <w:pPr>
              <w:pStyle w:val="TableContents"/>
              <w:numPr>
                <w:ilvl w:val="0"/>
                <w:numId w:val="5"/>
              </w:numPr>
              <w:ind w:left="375" w:hanging="375"/>
            </w:pPr>
            <w:r>
              <w:rPr>
                <w:rFonts w:ascii="Calibri" w:eastAsia="helvl" w:hAnsi="Calibri" w:cs="Calibri"/>
                <w:sz w:val="22"/>
                <w:szCs w:val="22"/>
              </w:rPr>
              <w:t xml:space="preserve">w dyspepsji czynnościowej żołądka, </w:t>
            </w:r>
          </w:p>
        </w:tc>
      </w:tr>
      <w:tr w:rsidR="001E048A" w14:paraId="569E0D7A" w14:textId="77777777">
        <w:trPr>
          <w:trHeight w:val="1786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E858E" w14:textId="77777777" w:rsidR="001E048A" w:rsidRDefault="007A54A6">
            <w:pPr>
              <w:pStyle w:val="TableContents"/>
              <w:jc w:val="center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>05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67BDF" w14:textId="77777777" w:rsidR="001E048A" w:rsidRDefault="007A54A6">
            <w:pPr>
              <w:pStyle w:val="TableContents"/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 xml:space="preserve">dieta </w:t>
            </w:r>
            <w:proofErr w:type="spellStart"/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>bogatoresztkowa</w:t>
            </w:r>
            <w:proofErr w:type="spellEnd"/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AC0F9" w14:textId="77777777" w:rsidR="001E048A" w:rsidRDefault="007A54A6">
            <w:pPr>
              <w:pStyle w:val="TableContents"/>
              <w:numPr>
                <w:ilvl w:val="0"/>
                <w:numId w:val="6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zaparciach nawykowymi, w postaci atonicznej zaparć w zaburzeniach czynności jelit, </w:t>
            </w:r>
          </w:p>
          <w:p w14:paraId="6899FBAE" w14:textId="77777777" w:rsidR="001E048A" w:rsidRDefault="007A54A6">
            <w:pPr>
              <w:pStyle w:val="TableContents"/>
              <w:numPr>
                <w:ilvl w:val="0"/>
                <w:numId w:val="6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nadmiernej nadpobudliwości jelita grubego, </w:t>
            </w:r>
          </w:p>
          <w:p w14:paraId="76593047" w14:textId="77777777" w:rsidR="001E048A" w:rsidRDefault="007A54A6">
            <w:pPr>
              <w:pStyle w:val="TableContents"/>
              <w:numPr>
                <w:ilvl w:val="0"/>
                <w:numId w:val="6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dietoprofilaktyce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uchyłkowości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 nowotworów jelita grubego, kamicy żółciowej, otyłości, zaburzeń przemiany lipidowej oraz węglowodanowej,</w:t>
            </w:r>
          </w:p>
        </w:tc>
      </w:tr>
      <w:tr w:rsidR="001E048A" w14:paraId="148C0E38" w14:textId="77777777"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7DA90" w14:textId="77777777" w:rsidR="001E048A" w:rsidRDefault="007A54A6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88699" w14:textId="77777777" w:rsidR="001E048A" w:rsidRDefault="007A54A6">
            <w:pPr>
              <w:pStyle w:val="TableContents"/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>dieta z ograniczeniem łatwo przyswajalnych węglowodanów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095F0" w14:textId="77777777" w:rsidR="001E048A" w:rsidRDefault="007A54A6">
            <w:pPr>
              <w:pStyle w:val="TableContents"/>
              <w:numPr>
                <w:ilvl w:val="0"/>
                <w:numId w:val="7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cukrzycy,</w:t>
            </w:r>
          </w:p>
          <w:p w14:paraId="182509DB" w14:textId="77777777" w:rsidR="001E048A" w:rsidRDefault="007A54A6">
            <w:pPr>
              <w:pStyle w:val="TableContents"/>
              <w:numPr>
                <w:ilvl w:val="0"/>
                <w:numId w:val="7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insulinooporności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5FF7DF16" w14:textId="77777777" w:rsidR="001E048A" w:rsidRDefault="007A54A6">
            <w:pPr>
              <w:pStyle w:val="TableContents"/>
              <w:numPr>
                <w:ilvl w:val="0"/>
                <w:numId w:val="7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zaburzeniach tolerancji glukozy, </w:t>
            </w:r>
          </w:p>
          <w:p w14:paraId="4336489A" w14:textId="77777777" w:rsidR="001E048A" w:rsidRDefault="007A54A6">
            <w:pPr>
              <w:pStyle w:val="TableContents"/>
              <w:numPr>
                <w:ilvl w:val="0"/>
                <w:numId w:val="7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hipertriglicerydemii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</w:tc>
      </w:tr>
      <w:tr w:rsidR="001E048A" w14:paraId="0A51568A" w14:textId="77777777"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A3EC0" w14:textId="77777777" w:rsidR="001E048A" w:rsidRDefault="007A54A6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07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645BD" w14:textId="77777777" w:rsidR="001E048A" w:rsidRDefault="007A54A6">
            <w:pPr>
              <w:pStyle w:val="TableContents"/>
              <w:rPr>
                <w:rFonts w:ascii="Calibri" w:eastAsia="helv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>dieta o kontrolowanej zawartości kwasów tłuszczowych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E0C0C" w14:textId="77777777" w:rsidR="001E048A" w:rsidRDefault="007A54A6">
            <w:pPr>
              <w:pStyle w:val="TableContents"/>
              <w:numPr>
                <w:ilvl w:val="0"/>
                <w:numId w:val="7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chorobach układu sercowo naczyniowego, w tym z miażdżycą,</w:t>
            </w:r>
          </w:p>
          <w:p w14:paraId="1BA0FE88" w14:textId="77777777" w:rsidR="001E048A" w:rsidRDefault="007A54A6">
            <w:pPr>
              <w:pStyle w:val="TableContents"/>
              <w:numPr>
                <w:ilvl w:val="0"/>
                <w:numId w:val="7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hiperlipidemiach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oraz z przewlekłymi zespołami wieńcowymi, </w:t>
            </w:r>
          </w:p>
        </w:tc>
      </w:tr>
      <w:tr w:rsidR="001E048A" w14:paraId="452283AD" w14:textId="77777777">
        <w:trPr>
          <w:trHeight w:val="556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1A946" w14:textId="77777777" w:rsidR="001E048A" w:rsidRDefault="007A54A6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7C4A9" w14:textId="77777777" w:rsidR="001E048A" w:rsidRDefault="007A54A6">
            <w:pPr>
              <w:pStyle w:val="TableContents"/>
              <w:rPr>
                <w:rFonts w:ascii="Calibri" w:eastAsia="helv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 xml:space="preserve">dieta </w:t>
            </w:r>
            <w:proofErr w:type="spellStart"/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>ubogoenergetyczna</w:t>
            </w:r>
            <w:proofErr w:type="spellEnd"/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06654" w14:textId="77777777" w:rsidR="001E048A" w:rsidRDefault="007A54A6">
            <w:pPr>
              <w:pStyle w:val="TableContents"/>
              <w:numPr>
                <w:ilvl w:val="0"/>
                <w:numId w:val="7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nadwagą i otyłością, o ile nie ma innych przeciwwskazań,</w:t>
            </w:r>
          </w:p>
        </w:tc>
      </w:tr>
      <w:tr w:rsidR="001E048A" w14:paraId="4DA0F0C2" w14:textId="77777777"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2518C" w14:textId="77777777" w:rsidR="001E048A" w:rsidRDefault="007A54A6">
            <w:pPr>
              <w:pStyle w:val="TableContents"/>
              <w:jc w:val="center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>09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F4F90" w14:textId="77777777" w:rsidR="001E048A" w:rsidRDefault="007A54A6">
            <w:pPr>
              <w:pStyle w:val="TableContents"/>
              <w:rPr>
                <w:rFonts w:ascii="Calibri" w:eastAsia="helv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 xml:space="preserve">dieta </w:t>
            </w:r>
            <w:proofErr w:type="spellStart"/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>bogatobiałkowa</w:t>
            </w:r>
            <w:proofErr w:type="spellEnd"/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C09C5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wyniszczeniu organizmu,</w:t>
            </w:r>
          </w:p>
          <w:p w14:paraId="49CFCF30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okresie rekonwalescencji – po udarze mózgu, po zabiegach chirurgicznych</w:t>
            </w:r>
          </w:p>
          <w:p w14:paraId="444C51C2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 pacjentów z  silnymi/rozległymi oparzeniami, z rozległymi zranieniami, </w:t>
            </w:r>
          </w:p>
          <w:p w14:paraId="3EE959D7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chorobach nowotworowych, </w:t>
            </w:r>
          </w:p>
          <w:p w14:paraId="19286932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wyrównanej marskości wątroby, </w:t>
            </w:r>
          </w:p>
          <w:p w14:paraId="3E585FB5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przewlekłym aktywnym zapaleniem wątroby, </w:t>
            </w:r>
          </w:p>
          <w:p w14:paraId="5F5C739A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zespole nerczycowym, </w:t>
            </w:r>
          </w:p>
          <w:p w14:paraId="78CBB468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 pacjentów z przewlekłą niewydolnością krążenia,</w:t>
            </w:r>
          </w:p>
          <w:p w14:paraId="39D4F557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chorobie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cushinga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39D4D250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nadczynności tarczycy, </w:t>
            </w:r>
          </w:p>
          <w:p w14:paraId="34951A62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niedoczynności tarczycy, </w:t>
            </w:r>
          </w:p>
          <w:p w14:paraId="5721FAD7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chorobach przebiegającymi z długotrwałą wysoką gorączką,</w:t>
            </w:r>
          </w:p>
        </w:tc>
      </w:tr>
      <w:tr w:rsidR="001E048A" w14:paraId="197FE3E4" w14:textId="77777777"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11679" w14:textId="77777777" w:rsidR="001E048A" w:rsidRDefault="007A54A6">
            <w:pPr>
              <w:pStyle w:val="TableContents"/>
              <w:jc w:val="center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7EB30" w14:textId="77777777" w:rsidR="001E048A" w:rsidRDefault="007A54A6">
            <w:pPr>
              <w:pStyle w:val="TableContents"/>
              <w:rPr>
                <w:rFonts w:ascii="Calibri" w:eastAsia="helv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>dieta papkowata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651FF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chorobach jamy ustnej, przełyku – zapalenie przełyku, rak przełyku, zwężenie przełyku, żylaki przełyku, </w:t>
            </w:r>
          </w:p>
          <w:p w14:paraId="5114A15E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 pacjentów u których występuje  utrudnione gryzienie i połykanie, </w:t>
            </w:r>
          </w:p>
          <w:p w14:paraId="1F7F6532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niektórych chorobach przebiegających z gorączką, </w:t>
            </w:r>
          </w:p>
          <w:p w14:paraId="755A0507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 niektórych zabiegach chirurgicznych wg wskazań lekarza,</w:t>
            </w:r>
          </w:p>
        </w:tc>
      </w:tr>
      <w:tr w:rsidR="001E048A" w14:paraId="400246B4" w14:textId="77777777"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66F87" w14:textId="77777777" w:rsidR="001E048A" w:rsidRDefault="007A54A6">
            <w:pPr>
              <w:pStyle w:val="TableContents"/>
              <w:jc w:val="center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>11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175BE" w14:textId="77777777" w:rsidR="001E048A" w:rsidRDefault="007A54A6">
            <w:pPr>
              <w:pStyle w:val="TableContents"/>
              <w:rPr>
                <w:rFonts w:ascii="Calibri" w:eastAsia="helv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>dieta płynna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EE2D8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według wskazań lekarza, </w:t>
            </w:r>
          </w:p>
          <w:p w14:paraId="06217D18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chorobach jamy ustnej i przełyku, </w:t>
            </w:r>
          </w:p>
          <w:p w14:paraId="4DC8C8AD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pierwszych dobach po zabiegach operacyjnych o ile jest wskazanie, </w:t>
            </w:r>
          </w:p>
          <w:p w14:paraId="2AC76F36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przy nietolerancji pokarmów stałych (nudności, wymioty, brak łaknienia, biegunka),</w:t>
            </w:r>
          </w:p>
        </w:tc>
      </w:tr>
      <w:tr w:rsidR="001E048A" w14:paraId="54DD883C" w14:textId="77777777"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F4A4C" w14:textId="77777777" w:rsidR="001E048A" w:rsidRDefault="007A54A6">
            <w:pPr>
              <w:pStyle w:val="TableContents"/>
              <w:jc w:val="center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>12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21676" w14:textId="77777777" w:rsidR="001E048A" w:rsidRDefault="007A54A6">
            <w:pPr>
              <w:pStyle w:val="TableContents"/>
              <w:rPr>
                <w:rFonts w:ascii="Calibri" w:eastAsia="helv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>dieta płynna wzmocniona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45FF8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ostrych nieżytach żołądkowo-jelitowych, </w:t>
            </w:r>
          </w:p>
          <w:p w14:paraId="53B28249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 krwawieniach z przewodu pokarmowego, </w:t>
            </w:r>
          </w:p>
          <w:p w14:paraId="023D1885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okresie rekonwalescencji po niektórych zabiegach operacyjnych, zwłaszcza przewodu pokarmowego, </w:t>
            </w:r>
          </w:p>
          <w:p w14:paraId="7CE24C4D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chorobach jamy ustnej i przełyku, </w:t>
            </w:r>
          </w:p>
          <w:p w14:paraId="109629B4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 pacjentów z trudnościami w połykaniu,  brakiem uzębienia, </w:t>
            </w:r>
          </w:p>
          <w:p w14:paraId="6BCA8F04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niektórych chorobach zakaźnych – wg wskazań lekarza, </w:t>
            </w:r>
          </w:p>
        </w:tc>
      </w:tr>
      <w:tr w:rsidR="001E048A" w14:paraId="3461210F" w14:textId="77777777"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04255" w14:textId="77777777" w:rsidR="001E048A" w:rsidRDefault="007A54A6">
            <w:pPr>
              <w:pStyle w:val="TableContents"/>
              <w:jc w:val="center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>13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D9D3B" w14:textId="77777777" w:rsidR="001E048A" w:rsidRDefault="007A54A6">
            <w:pPr>
              <w:pStyle w:val="TableContents"/>
              <w:rPr>
                <w:rFonts w:ascii="Calibri" w:eastAsia="helv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>dieta bezresztkowa (kisiel + galaretka)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5BEEC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 zabiegach chirurgicznych w obrębie jamy brzusznej, </w:t>
            </w:r>
          </w:p>
          <w:p w14:paraId="2EBA1916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dla pacjentów przygotowujących się do badań: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kolonoskopia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itp.</w:t>
            </w:r>
          </w:p>
        </w:tc>
      </w:tr>
      <w:tr w:rsidR="001E048A" w14:paraId="7ABC178F" w14:textId="77777777"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DFB8B" w14:textId="77777777" w:rsidR="001E048A" w:rsidRDefault="007A54A6">
            <w:pPr>
              <w:pStyle w:val="TableContents"/>
              <w:jc w:val="center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>14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7B4BA" w14:textId="77777777" w:rsidR="001E048A" w:rsidRDefault="007A54A6">
            <w:pPr>
              <w:pStyle w:val="TableContents"/>
              <w:rPr>
                <w:rFonts w:ascii="Calibri" w:eastAsia="helv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 xml:space="preserve">dieta </w:t>
            </w:r>
            <w:proofErr w:type="spellStart"/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>ubogoresztkowa</w:t>
            </w:r>
            <w:proofErr w:type="spellEnd"/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D0402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chorobach zapalnych jelit w stanie ostrym – choroba Leśniowskiego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Crohna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wrzodziejące zapalenie jelita grubego, </w:t>
            </w:r>
          </w:p>
          <w:p w14:paraId="575FA2A8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uchyłkowości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 stanie ostrym, </w:t>
            </w:r>
          </w:p>
          <w:p w14:paraId="0AEFF062" w14:textId="77777777" w:rsidR="001E048A" w:rsidRDefault="001E048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  <w:p w14:paraId="31E5A1EA" w14:textId="77777777" w:rsidR="001E048A" w:rsidRDefault="001E048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  <w:p w14:paraId="51815E55" w14:textId="77777777" w:rsidR="001E048A" w:rsidRDefault="001E048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  <w:p w14:paraId="6B0CB1ED" w14:textId="77777777" w:rsidR="001E048A" w:rsidRDefault="001E048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  <w:p w14:paraId="6112C323" w14:textId="77777777" w:rsidR="001E048A" w:rsidRDefault="001E048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  <w:p w14:paraId="27D5013D" w14:textId="77777777" w:rsidR="001E048A" w:rsidRDefault="001E048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  <w:p w14:paraId="319D4DBD" w14:textId="77777777" w:rsidR="001E048A" w:rsidRDefault="001E048A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48A" w14:paraId="3C33B163" w14:textId="77777777"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0C93B" w14:textId="77777777" w:rsidR="001E048A" w:rsidRDefault="007A54A6">
            <w:pPr>
              <w:pStyle w:val="TableContents"/>
              <w:jc w:val="center"/>
              <w:rPr>
                <w:rFonts w:ascii="Calibri" w:eastAsia="helvl" w:hAnsi="Calibri" w:cs="Calibri"/>
                <w:b/>
                <w:sz w:val="22"/>
                <w:szCs w:val="22"/>
              </w:rPr>
            </w:pPr>
            <w:r>
              <w:rPr>
                <w:rFonts w:ascii="Calibri" w:eastAsia="helvl" w:hAnsi="Calibri" w:cs="Calibri"/>
                <w:b/>
                <w:sz w:val="22"/>
                <w:szCs w:val="22"/>
              </w:rPr>
              <w:lastRenderedPageBreak/>
              <w:t>nr.</w:t>
            </w:r>
          </w:p>
        </w:tc>
        <w:tc>
          <w:tcPr>
            <w:tcW w:w="9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48EB5" w14:textId="77777777" w:rsidR="001E048A" w:rsidRDefault="007A54A6">
            <w:pPr>
              <w:pStyle w:val="TableContents"/>
              <w:ind w:left="37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diety specjalne (s)</w:t>
            </w:r>
          </w:p>
        </w:tc>
      </w:tr>
      <w:tr w:rsidR="001E048A" w14:paraId="11DA9991" w14:textId="77777777">
        <w:trPr>
          <w:trHeight w:val="1585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8F1B7" w14:textId="77777777" w:rsidR="001E048A" w:rsidRDefault="007A54A6">
            <w:pPr>
              <w:pStyle w:val="TableContents"/>
              <w:jc w:val="center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>s1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DCFA7" w14:textId="77777777" w:rsidR="001E048A" w:rsidRDefault="007A54A6">
            <w:pPr>
              <w:pStyle w:val="TableContents"/>
              <w:rPr>
                <w:rFonts w:ascii="Calibri" w:eastAsia="helv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>dieta eliminacyjna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3E8CC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 osób z zdiagnozowana alergią lub nietolerancją na dany składnik, </w:t>
            </w:r>
          </w:p>
          <w:p w14:paraId="3826BD9D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 osób u których względy medyczne wykluczają wybrane produkty/grupy produktów,</w:t>
            </w:r>
          </w:p>
          <w:p w14:paraId="41451244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 osób u których religia wyklucza spożycie określonych produktów,</w:t>
            </w:r>
          </w:p>
        </w:tc>
      </w:tr>
      <w:tr w:rsidR="001E048A" w14:paraId="4083DEE7" w14:textId="77777777"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20182" w14:textId="77777777" w:rsidR="001E048A" w:rsidRDefault="007A54A6">
            <w:pPr>
              <w:pStyle w:val="TableContents"/>
              <w:jc w:val="center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>s2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083B0" w14:textId="77777777" w:rsidR="001E048A" w:rsidRDefault="007A54A6">
            <w:pPr>
              <w:pStyle w:val="TableContents"/>
              <w:rPr>
                <w:rFonts w:ascii="Calibri" w:eastAsia="helv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 xml:space="preserve">dieta bezmleczna 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046F6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według wskazań lekarza,</w:t>
            </w:r>
          </w:p>
          <w:p w14:paraId="4308B7E7" w14:textId="193C75B5" w:rsidR="0006114D" w:rsidRDefault="0006114D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wariant łatwostrawny dla pacjentów z biegunką, w trakcie lub po zakażeniach bakteryjnych układu pokarmowego,</w:t>
            </w:r>
          </w:p>
        </w:tc>
      </w:tr>
      <w:tr w:rsidR="001E048A" w14:paraId="4DCAE88C" w14:textId="77777777"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B106C" w14:textId="77777777" w:rsidR="001E048A" w:rsidRDefault="007A54A6">
            <w:pPr>
              <w:pStyle w:val="TableContents"/>
              <w:jc w:val="center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>s3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1C42C" w14:textId="77777777" w:rsidR="001E048A" w:rsidRDefault="007A54A6">
            <w:pPr>
              <w:pStyle w:val="TableContents"/>
              <w:rPr>
                <w:rFonts w:ascii="Calibri" w:eastAsia="helv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>dieta bezglutenowa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F83A7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chorobie trzewnej – celiakia,</w:t>
            </w:r>
          </w:p>
          <w:p w14:paraId="6F7A9C4B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innych stanach chorobowych zgodnie z zaleceniami lekarza,</w:t>
            </w:r>
          </w:p>
        </w:tc>
      </w:tr>
      <w:tr w:rsidR="001E048A" w14:paraId="2A92222D" w14:textId="77777777"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3413" w14:textId="77777777" w:rsidR="001E048A" w:rsidRDefault="007A54A6">
            <w:pPr>
              <w:pStyle w:val="TableContents"/>
              <w:jc w:val="center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>s4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2A859" w14:textId="77777777" w:rsidR="001E048A" w:rsidRDefault="007A54A6">
            <w:pPr>
              <w:pStyle w:val="TableContents"/>
              <w:rPr>
                <w:rFonts w:ascii="Calibri" w:eastAsia="helv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>dieta bez laktozy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DAEAD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dla pacjentów z nietolerancją laktozy,</w:t>
            </w:r>
          </w:p>
          <w:p w14:paraId="76014A73" w14:textId="4AAAE9BF" w:rsidR="00D3676C" w:rsidRDefault="00D3676C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 w:rsidRPr="00D3676C">
              <w:rPr>
                <w:rFonts w:ascii="Calibri" w:hAnsi="Calibri" w:cs="Calibri"/>
                <w:color w:val="00B050"/>
                <w:sz w:val="22"/>
                <w:szCs w:val="22"/>
              </w:rPr>
              <w:t>wariant diety łatwostrawnej dla pacjentów geriatrycznych,</w:t>
            </w:r>
          </w:p>
        </w:tc>
      </w:tr>
      <w:tr w:rsidR="001E048A" w14:paraId="670A327B" w14:textId="77777777"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5F0B0" w14:textId="77777777" w:rsidR="001E048A" w:rsidRDefault="007A54A6">
            <w:pPr>
              <w:pStyle w:val="TableContents"/>
              <w:jc w:val="center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>s5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F6FB3" w14:textId="77777777" w:rsidR="001E048A" w:rsidRDefault="007A54A6">
            <w:pPr>
              <w:pStyle w:val="TableContents"/>
              <w:rPr>
                <w:rFonts w:ascii="Calibri" w:eastAsia="helv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>dieta wegetariańska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CDEBF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dla osób nie jedzących mięsa,</w:t>
            </w:r>
          </w:p>
        </w:tc>
      </w:tr>
      <w:tr w:rsidR="001E048A" w14:paraId="6DE058E1" w14:textId="77777777"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F8482" w14:textId="77777777" w:rsidR="001E048A" w:rsidRDefault="007A54A6">
            <w:pPr>
              <w:pStyle w:val="TableContents"/>
              <w:jc w:val="center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>s6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B3150" w14:textId="77777777" w:rsidR="001E048A" w:rsidRDefault="007A54A6">
            <w:pPr>
              <w:pStyle w:val="TableContents"/>
              <w:rPr>
                <w:rFonts w:ascii="Calibri" w:eastAsia="helv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>dieta kobiet karmiących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FABD9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dla kobiet karmiących piersią,</w:t>
            </w:r>
          </w:p>
        </w:tc>
      </w:tr>
      <w:tr w:rsidR="001E048A" w14:paraId="0A7473FD" w14:textId="77777777"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EA0A8" w14:textId="77777777" w:rsidR="001E048A" w:rsidRDefault="007A54A6">
            <w:pPr>
              <w:pStyle w:val="TableContents"/>
              <w:jc w:val="center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>s7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1CAD" w14:textId="77777777" w:rsidR="001E048A" w:rsidRDefault="007A54A6">
            <w:pPr>
              <w:pStyle w:val="TableContents"/>
              <w:rPr>
                <w:rFonts w:ascii="Calibri" w:eastAsia="helv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 xml:space="preserve">dieta </w:t>
            </w:r>
            <w:proofErr w:type="spellStart"/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>bogatobiałkowa</w:t>
            </w:r>
            <w:proofErr w:type="spellEnd"/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 xml:space="preserve"> dla osób dializowanych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71C46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pacjentów dializowanych,</w:t>
            </w:r>
          </w:p>
        </w:tc>
      </w:tr>
      <w:tr w:rsidR="001E048A" w14:paraId="2808D6F9" w14:textId="77777777"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25A1F" w14:textId="77777777" w:rsidR="001E048A" w:rsidRDefault="007A54A6">
            <w:pPr>
              <w:pStyle w:val="TableContents"/>
              <w:jc w:val="center"/>
              <w:rPr>
                <w:rFonts w:ascii="Calibri" w:eastAsia="helvl" w:hAnsi="Calibri" w:cs="Calibri"/>
                <w:sz w:val="22"/>
                <w:szCs w:val="22"/>
              </w:rPr>
            </w:pPr>
            <w:r>
              <w:rPr>
                <w:rFonts w:ascii="Calibri" w:eastAsia="helvl" w:hAnsi="Calibri" w:cs="Calibri"/>
                <w:sz w:val="22"/>
                <w:szCs w:val="22"/>
              </w:rPr>
              <w:t>s8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82D5A" w14:textId="77777777" w:rsidR="001E048A" w:rsidRDefault="007A54A6">
            <w:pPr>
              <w:pStyle w:val="TableContents"/>
              <w:rPr>
                <w:rFonts w:ascii="Calibri" w:eastAsia="helv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helvl" w:hAnsi="Calibri" w:cs="Calibri"/>
                <w:b/>
                <w:bCs/>
                <w:sz w:val="22"/>
                <w:szCs w:val="22"/>
              </w:rPr>
              <w:t xml:space="preserve">dieta niskobiałkowa w chorobach nerek 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0CA95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niewydolności nerek, </w:t>
            </w:r>
          </w:p>
          <w:p w14:paraId="45389DC1" w14:textId="77777777" w:rsidR="001E048A" w:rsidRDefault="007A54A6">
            <w:pPr>
              <w:pStyle w:val="TableContents"/>
              <w:numPr>
                <w:ilvl w:val="0"/>
                <w:numId w:val="8"/>
              </w:numPr>
              <w:ind w:left="375" w:hanging="3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niewydolności wątroby,  </w:t>
            </w:r>
          </w:p>
        </w:tc>
      </w:tr>
    </w:tbl>
    <w:p w14:paraId="762BCA79" w14:textId="77777777" w:rsidR="001E048A" w:rsidRDefault="007A54A6">
      <w:pPr>
        <w:pStyle w:val="Textbody"/>
      </w:pPr>
      <w:r>
        <w:rPr>
          <w:rFonts w:eastAsia="helvl" w:cs="helvl"/>
          <w:color w:val="000000"/>
          <w:sz w:val="18"/>
          <w:szCs w:val="18"/>
        </w:rPr>
        <w:br/>
      </w:r>
      <w:r>
        <w:rPr>
          <w:rFonts w:eastAsia="helvl" w:cs="helvl"/>
          <w:color w:val="000000"/>
          <w:sz w:val="20"/>
          <w:szCs w:val="20"/>
        </w:rPr>
        <w:t>źródło: Helena Ciborowska , Anna Rudnicka  Dietetyka żywienie człowieka zdrowego i chorego.</w:t>
      </w:r>
    </w:p>
    <w:p w14:paraId="090370C2" w14:textId="77777777" w:rsidR="001E048A" w:rsidRDefault="007A54A6">
      <w:pPr>
        <w:pStyle w:val="Textbody"/>
        <w:spacing w:line="360" w:lineRule="auto"/>
        <w:jc w:val="both"/>
      </w:pPr>
      <w:r>
        <w:rPr>
          <w:rFonts w:eastAsia="helvl" w:cs="helvl"/>
          <w:color w:val="000000"/>
          <w:sz w:val="20"/>
          <w:szCs w:val="20"/>
        </w:rPr>
        <w:t>PZWL, Warszawa 2007 wydanie III uzupełnione</w:t>
      </w:r>
    </w:p>
    <w:p w14:paraId="64096C0F" w14:textId="77777777" w:rsidR="001E048A" w:rsidRDefault="001E048A">
      <w:pPr>
        <w:pStyle w:val="Standard"/>
      </w:pPr>
    </w:p>
    <w:sectPr w:rsidR="001E048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6A530" w14:textId="77777777" w:rsidR="0095514E" w:rsidRDefault="0095514E">
      <w:pPr>
        <w:spacing w:after="0" w:line="240" w:lineRule="auto"/>
      </w:pPr>
      <w:r>
        <w:separator/>
      </w:r>
    </w:p>
  </w:endnote>
  <w:endnote w:type="continuationSeparator" w:id="0">
    <w:p w14:paraId="4FFB25BB" w14:textId="77777777" w:rsidR="0095514E" w:rsidRDefault="0095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1E27F" w14:textId="77777777" w:rsidR="007A54A6" w:rsidRDefault="007A54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F204D" w14:textId="77777777" w:rsidR="007A54A6" w:rsidRDefault="007A54A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613AF">
      <w:rPr>
        <w:noProof/>
      </w:rPr>
      <w:t>1</w:t>
    </w:r>
    <w:r>
      <w:fldChar w:fldCharType="end"/>
    </w:r>
  </w:p>
  <w:p w14:paraId="763715CB" w14:textId="77777777" w:rsidR="007A54A6" w:rsidRDefault="007A54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5F625" w14:textId="77777777" w:rsidR="0095514E" w:rsidRDefault="009551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CEB739" w14:textId="77777777" w:rsidR="0095514E" w:rsidRDefault="00955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631B" w14:textId="77777777" w:rsidR="007A54A6" w:rsidRDefault="007A54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897B7" w14:textId="77777777" w:rsidR="007A54A6" w:rsidRDefault="007A54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126"/>
    <w:multiLevelType w:val="multilevel"/>
    <w:tmpl w:val="710A0A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912D92"/>
    <w:multiLevelType w:val="multilevel"/>
    <w:tmpl w:val="EC0E93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AFA0FA9"/>
    <w:multiLevelType w:val="multilevel"/>
    <w:tmpl w:val="D46A89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E236127"/>
    <w:multiLevelType w:val="multilevel"/>
    <w:tmpl w:val="AB6032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5295901"/>
    <w:multiLevelType w:val="multilevel"/>
    <w:tmpl w:val="93C4465A"/>
    <w:styleLink w:val="WWNum1"/>
    <w:lvl w:ilvl="0">
      <w:start w:val="1"/>
      <w:numFmt w:val="upperRoman"/>
      <w:lvlText w:val="%1."/>
      <w:lvlJc w:val="left"/>
      <w:rPr>
        <w:rFonts w:cs="helv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2440956"/>
    <w:multiLevelType w:val="multilevel"/>
    <w:tmpl w:val="BD4823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7386A45"/>
    <w:multiLevelType w:val="multilevel"/>
    <w:tmpl w:val="64187F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D033FBD"/>
    <w:multiLevelType w:val="multilevel"/>
    <w:tmpl w:val="CE7270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8A"/>
    <w:rsid w:val="0006114D"/>
    <w:rsid w:val="001E048A"/>
    <w:rsid w:val="00233BAF"/>
    <w:rsid w:val="004613AF"/>
    <w:rsid w:val="004A7296"/>
    <w:rsid w:val="007A54A6"/>
    <w:rsid w:val="0095514E"/>
    <w:rsid w:val="00D3676C"/>
    <w:rsid w:val="00F3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D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  <w:rPr>
      <w:rFonts w:ascii="Times New Roman" w:hAnsi="Times New Roman" w:cs="Times New Roman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basedOn w:val="Domylnaczcionkaakapitu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ListLabel1">
    <w:name w:val="ListLabel 1"/>
    <w:rPr>
      <w:rFonts w:cs="helvl"/>
      <w:b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  <w:rPr>
      <w:rFonts w:ascii="Times New Roman" w:hAnsi="Times New Roman" w:cs="Times New Roman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basedOn w:val="Domylnaczcionkaakapitu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ListLabel1">
    <w:name w:val="ListLabel 1"/>
    <w:rPr>
      <w:rFonts w:cs="helvl"/>
      <w:b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Zawisza</dc:creator>
  <cp:lastModifiedBy>Irena Olesinska</cp:lastModifiedBy>
  <cp:revision>6</cp:revision>
  <dcterms:created xsi:type="dcterms:W3CDTF">2024-01-10T12:18:00Z</dcterms:created>
  <dcterms:modified xsi:type="dcterms:W3CDTF">2025-02-18T09:11:00Z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