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lang w:val="pl-PL" w:eastAsia="pl-PL"/>
        </w:rPr>
      </w:pPr>
      <w:r>
        <w:rPr/>
        <w:drawing>
          <wp:inline distT="0" distB="0" distL="0" distR="0">
            <wp:extent cx="6080125" cy="78041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11" t="-83" r="-11" b="-83"/>
                    <a:stretch>
                      <a:fillRect/>
                    </a:stretch>
                  </pic:blipFill>
                  <pic:spPr bwMode="auto">
                    <a:xfrm>
                      <a:off x="0" y="0"/>
                      <a:ext cx="6080125" cy="780415"/>
                    </a:xfrm>
                    <a:prstGeom prst="rect">
                      <a:avLst/>
                    </a:prstGeom>
                  </pic:spPr>
                </pic:pic>
              </a:graphicData>
            </a:graphic>
          </wp:inline>
        </w:drawing>
      </w:r>
    </w:p>
    <w:p>
      <w:pPr>
        <w:pStyle w:val="Normal"/>
        <w:rPr/>
      </w:pPr>
      <w:r>
        <w:rPr/>
      </w:r>
    </w:p>
    <w:tbl>
      <w:tblPr>
        <w:tblW w:w="9504" w:type="dxa"/>
        <w:jc w:val="left"/>
        <w:tblInd w:w="63" w:type="dxa"/>
        <w:tblLayout w:type="fixed"/>
        <w:tblCellMar>
          <w:top w:w="0" w:type="dxa"/>
          <w:left w:w="108" w:type="dxa"/>
          <w:bottom w:w="0" w:type="dxa"/>
          <w:right w:w="108" w:type="dxa"/>
        </w:tblCellMar>
      </w:tblPr>
      <w:tblGrid>
        <w:gridCol w:w="9504"/>
      </w:tblGrid>
      <w:tr>
        <w:trPr>
          <w:trHeight w:val="132" w:hRule="atLeast"/>
        </w:trPr>
        <w:tc>
          <w:tcPr>
            <w:tcW w:w="9504" w:type="dxa"/>
            <w:tcBorders>
              <w:top w:val="single" w:sz="4" w:space="0" w:color="000000"/>
              <w:left w:val="single" w:sz="4" w:space="0" w:color="000000"/>
              <w:bottom w:val="single" w:sz="4" w:space="0" w:color="000000"/>
              <w:right w:val="single" w:sz="4" w:space="0" w:color="000000"/>
            </w:tcBorders>
            <w:shd w:fill="D9D9D9" w:val="clear"/>
          </w:tcPr>
          <w:p>
            <w:pPr>
              <w:pStyle w:val="Normal"/>
              <w:widowControl w:val="false"/>
              <w:jc w:val="right"/>
              <w:rPr>
                <w:rFonts w:ascii="Palatino Linotype" w:hAnsi="Palatino Linotype" w:cs="Palatino Linotype"/>
                <w:b/>
                <w:b/>
                <w:sz w:val="20"/>
                <w:szCs w:val="20"/>
              </w:rPr>
            </w:pPr>
            <w:r>
              <w:rPr>
                <w:rFonts w:cs="Palatino Linotype" w:ascii="Palatino Linotype" w:hAnsi="Palatino Linotype"/>
                <w:b/>
                <w:sz w:val="20"/>
                <w:szCs w:val="20"/>
              </w:rPr>
              <w:t>Załącznik nr 6 do SWZ</w:t>
            </w:r>
          </w:p>
        </w:tc>
      </w:tr>
      <w:tr>
        <w:trPr>
          <w:trHeight w:val="548" w:hRule="atLeast"/>
        </w:trPr>
        <w:tc>
          <w:tcPr>
            <w:tcW w:w="9504"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jc w:val="center"/>
              <w:rPr>
                <w:rFonts w:ascii="Palatino Linotype" w:hAnsi="Palatino Linotype" w:cs="Palatino Linotype"/>
                <w:b/>
                <w:b/>
                <w:sz w:val="20"/>
                <w:szCs w:val="20"/>
              </w:rPr>
            </w:pPr>
            <w:r>
              <w:rPr>
                <w:rFonts w:cs="Palatino Linotype" w:ascii="Palatino Linotype" w:hAnsi="Palatino Linotype"/>
                <w:b/>
                <w:sz w:val="20"/>
                <w:szCs w:val="20"/>
              </w:rPr>
              <w:t>KLAUZULA INFORMACYJNA DOTYCZĄCA PRZETWARZANIA DANYCH OSOBOWYCH OSÓB FIZYCZNYCH</w:t>
            </w:r>
          </w:p>
        </w:tc>
      </w:tr>
    </w:tbl>
    <w:p>
      <w:pPr>
        <w:pStyle w:val="Nagwek"/>
        <w:spacing w:lineRule="atLeast" w:line="100" w:before="0" w:after="0"/>
        <w:ind w:left="0" w:right="0" w:hanging="0"/>
        <w:rPr>
          <w:rFonts w:ascii="Palatino Linotype" w:hAnsi="Palatino Linotype" w:cs="Palatino Linotype"/>
          <w:sz w:val="20"/>
          <w:szCs w:val="20"/>
        </w:rPr>
      </w:pPr>
      <w:r>
        <w:rPr>
          <w:rFonts w:cs="Palatino Linotype" w:ascii="Palatino Linotype" w:hAnsi="Palatino Linotype"/>
          <w:sz w:val="20"/>
          <w:szCs w:val="20"/>
        </w:rPr>
        <w:t>INFORMACJA</w:t>
      </w:r>
    </w:p>
    <w:p>
      <w:pPr>
        <w:pStyle w:val="Nagwek"/>
        <w:spacing w:lineRule="atLeast" w:line="100" w:before="0" w:after="240"/>
        <w:ind w:left="0" w:right="0" w:hanging="0"/>
        <w:rPr>
          <w:rFonts w:ascii="Palatino Linotype" w:hAnsi="Palatino Linotype" w:cs="Palatino Linotype"/>
          <w:sz w:val="20"/>
          <w:szCs w:val="20"/>
        </w:rPr>
      </w:pPr>
      <w:r>
        <w:rPr>
          <w:rFonts w:cs="Palatino Linotype" w:ascii="Palatino Linotype" w:hAnsi="Palatino Linotype"/>
          <w:sz w:val="20"/>
          <w:szCs w:val="20"/>
        </w:rPr>
        <w:t xml:space="preserve">o przetwarzaniu Pani/Pana danych osobowych </w:t>
      </w:r>
    </w:p>
    <w:p>
      <w:pPr>
        <w:pStyle w:val="Normal"/>
        <w:jc w:val="both"/>
        <w:rPr/>
      </w:pPr>
      <w:r>
        <w:rPr>
          <w:rFonts w:cs="Palatino Linotype" w:ascii="Palatino Linotype" w:hAnsi="Palatino Linotype"/>
          <w:sz w:val="20"/>
          <w:szCs w:val="20"/>
        </w:rPr>
        <w:t xml:space="preserve">Zgodnie z </w:t>
      </w:r>
      <w:r>
        <w:rPr>
          <w:rFonts w:cs="Palatino Linotype" w:ascii="Palatino Linotype" w:hAnsi="Palatino Linotype"/>
          <w:b/>
          <w:sz w:val="20"/>
          <w:szCs w:val="20"/>
        </w:rPr>
        <w:t>art. 14</w:t>
      </w:r>
      <w:r>
        <w:rPr>
          <w:rFonts w:cs="Palatino Linotype" w:ascii="Palatino Linotype" w:hAnsi="Palatino Linotype"/>
          <w:sz w:val="20"/>
          <w:szCs w:val="20"/>
        </w:rPr>
        <w:t xml:space="preserve"> </w:t>
      </w:r>
      <w:r>
        <w:rPr>
          <w:rFonts w:cs="Palatino Linotype" w:ascii="Palatino Linotype" w:hAnsi="Palatino Linotype"/>
          <w:bCs/>
          <w:sz w:val="20"/>
          <w:szCs w:val="20"/>
        </w:rPr>
        <w:t xml:space="preserve">rozporządzenia Parlamentu Europejskiego i Rady (UE) nr 2016/679 </w:t>
        <w:br/>
        <w:t>z dnia 27 kwietnia 2016 r. w sprawie ochrony osób fizycznych w związku z przetwarzaniem danych osobowych i w sprawie swobodnego przepływu takich danych oraz uchylenia dyrektywy 95/46/WE, zwanego dalej „RODO”,</w:t>
      </w:r>
      <w:r>
        <w:rPr>
          <w:rFonts w:cs="Palatino Linotype" w:ascii="Palatino Linotype" w:hAnsi="Palatino Linotype"/>
          <w:sz w:val="20"/>
          <w:szCs w:val="20"/>
        </w:rPr>
        <w:t xml:space="preserve"> informujemy, że będziemy przetwarzać Pani/Pana dane osobowe. Szczegóły tego dotyczące:</w:t>
      </w:r>
    </w:p>
    <w:p>
      <w:pPr>
        <w:pStyle w:val="Normal"/>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       Administrator danych osobowych</w:t>
      </w:r>
    </w:p>
    <w:p>
      <w:pPr>
        <w:pStyle w:val="Normal"/>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Specjalistyczny Psychiatryczny Zespół Opieki Zdrowotnej z siedzibą w Łodzi, ul. Aleksandrowska 159, 91-229 Łódź, tel. 42 652 96 39, informuje, że jest Administratorem Pani/Pana danych osobowych.</w:t>
      </w:r>
    </w:p>
    <w:p>
      <w:pPr>
        <w:pStyle w:val="Normal"/>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II.</w:t>
        <w:tab/>
        <w:t>Inspektor Ochrony Danych</w:t>
      </w:r>
    </w:p>
    <w:p>
      <w:pPr>
        <w:pStyle w:val="Normal"/>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Inspektorem ochrony danych osobowych w Specjalistycznym Psychiatrycznym Zespole Opieki Zdrowotnej w Łodzi jest Pani Joanna Pacholak adres e-mail: inspektorochronydanych@babinski.home.pl</w:t>
      </w:r>
    </w:p>
    <w:p>
      <w:pPr>
        <w:pStyle w:val="Normal"/>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III.</w:t>
        <w:tab/>
        <w:t>Cele i podstawy przetwarzania</w:t>
      </w:r>
    </w:p>
    <w:p>
      <w:pPr>
        <w:pStyle w:val="Normal"/>
        <w:keepNext w:val="true"/>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Przetwarzanie Pani/Pana danych osobowych ma na celu:</w:t>
      </w:r>
    </w:p>
    <w:p>
      <w:pPr>
        <w:pStyle w:val="Normal"/>
        <w:numPr>
          <w:ilvl w:val="0"/>
          <w:numId w:val="1"/>
        </w:numPr>
        <w:shd w:val="clear" w:fill="FFFFFF"/>
        <w:spacing w:lineRule="atLeast" w:line="100"/>
        <w:jc w:val="both"/>
        <w:rPr/>
      </w:pPr>
      <w:r>
        <w:rPr>
          <w:rFonts w:cs="Palatino Linotype" w:ascii="Palatino Linotype" w:hAnsi="Palatino Linotype"/>
          <w:sz w:val="20"/>
          <w:szCs w:val="20"/>
        </w:rPr>
        <w:t>przeprowadzenie i rozstrzygnięcie postępowania o udzielenie zamówienia publicznego,</w:t>
      </w:r>
      <w:r>
        <w:rPr>
          <w:rFonts w:cs="Palatino Linotype" w:ascii="Palatino Linotype" w:hAnsi="Palatino Linotype"/>
          <w:b/>
          <w:sz w:val="20"/>
          <w:szCs w:val="20"/>
        </w:rPr>
        <w:t xml:space="preserve"> </w:t>
      </w:r>
      <w:r>
        <w:rPr>
          <w:rFonts w:cs="Palatino Linotype" w:ascii="Palatino Linotype" w:hAnsi="Palatino Linotype"/>
          <w:sz w:val="20"/>
          <w:szCs w:val="20"/>
        </w:rPr>
        <w:t>którego przedmiotem jest:</w:t>
      </w:r>
      <w:r>
        <w:rPr>
          <w:rFonts w:cs="Palatino Linotype" w:ascii="Palatino Linotype" w:hAnsi="Palatino Linotype"/>
          <w:sz w:val="20"/>
          <w:szCs w:val="20"/>
          <w:shd w:fill="FFFFFF" w:val="clear"/>
        </w:rPr>
        <w:t xml:space="preserve"> </w:t>
      </w:r>
      <w:r>
        <w:rPr>
          <w:rFonts w:eastAsia="Lato-Bold" w:cs="Palatino Linotype" w:ascii="Palatino Linotype" w:hAnsi="Palatino Linotype"/>
          <w:color w:val="000000"/>
          <w:sz w:val="20"/>
          <w:szCs w:val="20"/>
          <w:shd w:fill="FFFFFF" w:val="clear"/>
        </w:rPr>
        <w:t xml:space="preserve"> wybór ekspertów do opracowania 2 specjalistycznych programów diagnozy i leczenia zaburzeń psychicznych dla dzieci i młodzieży oraz przeprowadzenia (na zasadach prawa opcji zgodnie z ustawą Prawo zamówień publicznych) szkoleń w zakresie specjalistycznych programów diagnozy i leczenia zaburzeń psychicznych dla dzieci i młodzieży w ramach projektu „Opracowanie i realizacja specjalistycznych programów diagnozy i leczenia zaburzeń psychicznych”, współfinansowanego przez Unię Europejską ze środków Europejskiego Funduszu Społecznego Plus w ramach Programu Fundusze Europejskie dla Rozwoju Społecznego 2021-2027, Działanie FERS.04.15 Skuteczny i odporny system ochrony zdrowia, </w:t>
      </w:r>
      <w:r>
        <w:rPr>
          <w:rFonts w:cs="Palatino Linotype" w:ascii="Palatino Linotype" w:hAnsi="Palatino Linotype"/>
          <w:sz w:val="20"/>
          <w:szCs w:val="20"/>
          <w:shd w:fill="FFFFFF" w:val="clear"/>
        </w:rPr>
        <w:t xml:space="preserve">nr ref. SPZOZ/FERS 04.15/2/2025, </w:t>
      </w:r>
      <w:r>
        <w:rPr>
          <w:rFonts w:cs="Palatino Linotype" w:ascii="Palatino Linotype" w:hAnsi="Palatino Linotype"/>
          <w:sz w:val="20"/>
          <w:szCs w:val="20"/>
        </w:rPr>
        <w:t>zwana dalej „zamówieniem publicznym” – podstawa z art. 6 ust. 1 lit. c RODO,</w:t>
      </w:r>
    </w:p>
    <w:p>
      <w:pPr>
        <w:pStyle w:val="Normal"/>
        <w:numPr>
          <w:ilvl w:val="0"/>
          <w:numId w:val="1"/>
        </w:numPr>
        <w:spacing w:lineRule="atLeast" w:line="100"/>
        <w:jc w:val="both"/>
        <w:rPr>
          <w:rFonts w:ascii="Palatino Linotype" w:hAnsi="Palatino Linotype" w:cs="Palatino Linotype"/>
          <w:sz w:val="20"/>
          <w:szCs w:val="20"/>
        </w:rPr>
      </w:pPr>
      <w:r>
        <w:rPr>
          <w:rFonts w:cs="Palatino Linotype" w:ascii="Palatino Linotype" w:hAnsi="Palatino Linotype"/>
          <w:sz w:val="20"/>
          <w:szCs w:val="20"/>
        </w:rPr>
        <w:t>zawarcie z wybranym wykonawcą umowy w sprawie zamówienia publicznego i wykonanie tej umowy – podstawa z art. 6 ust. 1 lit. b RODO,</w:t>
      </w:r>
    </w:p>
    <w:p>
      <w:pPr>
        <w:pStyle w:val="Normal"/>
        <w:numPr>
          <w:ilvl w:val="0"/>
          <w:numId w:val="1"/>
        </w:numPr>
        <w:spacing w:lineRule="atLeast" w:line="100"/>
        <w:jc w:val="both"/>
        <w:rPr/>
      </w:pPr>
      <w:r>
        <w:rPr>
          <w:rFonts w:cs="Palatino Linotype" w:ascii="Palatino Linotype" w:hAnsi="Palatino Linotype"/>
          <w:sz w:val="20"/>
          <w:szCs w:val="20"/>
        </w:rPr>
        <w:t>opracowanie specjalistycznego programu diagnozy zaburzeń psychicznych, realizację szkolenia dla personelu zaangażowanego w wdrażanie programów</w:t>
      </w:r>
      <w:r>
        <w:rPr>
          <w:rFonts w:cs="Palatino Linotype" w:ascii="Palatino Linotype" w:hAnsi="Palatino Linotype"/>
          <w:b/>
          <w:sz w:val="20"/>
          <w:szCs w:val="20"/>
        </w:rPr>
        <w:t xml:space="preserve">  – </w:t>
      </w:r>
      <w:r>
        <w:rPr>
          <w:rFonts w:cs="Palatino Linotype" w:ascii="Palatino Linotype" w:hAnsi="Palatino Linotype"/>
          <w:sz w:val="20"/>
          <w:szCs w:val="20"/>
        </w:rPr>
        <w:t>podstawa z art. 6 ust. 1 lit. c RODO,</w:t>
      </w:r>
    </w:p>
    <w:p>
      <w:pPr>
        <w:pStyle w:val="Normal"/>
        <w:numPr>
          <w:ilvl w:val="0"/>
          <w:numId w:val="1"/>
        </w:numPr>
        <w:spacing w:lineRule="atLeast" w:line="100"/>
        <w:jc w:val="both"/>
        <w:rPr/>
      </w:pPr>
      <w:r>
        <w:rPr>
          <w:rFonts w:cs="Palatino Linotype" w:ascii="Palatino Linotype" w:hAnsi="Palatino Linotype"/>
          <w:sz w:val="20"/>
          <w:szCs w:val="20"/>
        </w:rPr>
        <w:t>realizację, rozliczenie i ewaluację projektu pn.:</w:t>
      </w:r>
      <w:r>
        <w:rPr>
          <w:rFonts w:cs="Palatino Linotype" w:ascii="Palatino Linotype" w:hAnsi="Palatino Linotype"/>
          <w:b/>
          <w:sz w:val="20"/>
          <w:szCs w:val="20"/>
        </w:rPr>
        <w:t xml:space="preserve"> </w:t>
      </w:r>
      <w:r>
        <w:rPr>
          <w:rFonts w:cs="Palatino Linotype" w:ascii="Palatino Linotype" w:hAnsi="Palatino Linotype"/>
          <w:sz w:val="20"/>
          <w:szCs w:val="20"/>
        </w:rPr>
        <w:t>„</w:t>
      </w:r>
      <w:r>
        <w:rPr>
          <w:rFonts w:eastAsia="Lato-Bold" w:cs="Palatino Linotype" w:ascii="Palatino Linotype" w:hAnsi="Palatino Linotype"/>
          <w:color w:val="000000"/>
          <w:sz w:val="20"/>
          <w:szCs w:val="20"/>
          <w:shd w:fill="FFFFFF" w:val="clear"/>
        </w:rPr>
        <w:t>Opracowanie i realizacja specjalistycznych programów diagnozy i leczenia zaburzeń psychicznych”, współfinansowanego przez Unię Europejską ze środków Europejskiego Funduszu Społecznego Plus w ramach Programu Fundusze Europejskie dla Rozwoju Społecznego 2021-2027, Działanie FERS.04.15 Skuteczny i odporny system ochrony zdrowia</w:t>
      </w:r>
      <w:r>
        <w:rPr>
          <w:rFonts w:cs="Palatino Linotype" w:ascii="Palatino Linotype" w:hAnsi="Palatino Linotype"/>
          <w:sz w:val="20"/>
          <w:szCs w:val="20"/>
        </w:rPr>
        <w:t xml:space="preserve"> – podstawa z art. 6 ust. 1 lit. c RODO.</w:t>
      </w:r>
    </w:p>
    <w:p>
      <w:pPr>
        <w:pStyle w:val="Normal"/>
        <w:keepNext w:val="true"/>
        <w:spacing w:lineRule="atLeast" w:line="100" w:before="200" w:after="200"/>
        <w:ind w:left="567" w:right="0" w:hanging="578"/>
        <w:jc w:val="both"/>
        <w:rPr/>
      </w:pPr>
      <w:r>
        <w:rPr>
          <w:rFonts w:cs="Palatino Linotype" w:ascii="Palatino Linotype" w:hAnsi="Palatino Linotype"/>
          <w:b/>
          <w:sz w:val="20"/>
          <w:szCs w:val="20"/>
        </w:rPr>
        <w:t>IV.</w:t>
        <w:tab/>
      </w:r>
      <w:r>
        <w:rPr>
          <w:rFonts w:cs="Palatino Linotype" w:ascii="Palatino Linotype" w:hAnsi="Palatino Linotype"/>
          <w:sz w:val="20"/>
          <w:szCs w:val="20"/>
        </w:rPr>
        <w:t>Kategorie Pani/Pana danych, które przetwarzamy:</w:t>
      </w:r>
    </w:p>
    <w:p>
      <w:pPr>
        <w:pStyle w:val="Normal"/>
        <w:keepNext w:val="true"/>
        <w:spacing w:lineRule="atLeast" w:line="100" w:before="200" w:after="200"/>
        <w:ind w:left="567" w:right="0" w:hanging="578"/>
        <w:jc w:val="both"/>
        <w:rPr/>
      </w:pPr>
      <w:r>
        <w:rPr>
          <w:rFonts w:eastAsia="Palatino Linotype" w:cs="Palatino Linotype" w:ascii="Palatino Linotype" w:hAnsi="Palatino Linotype"/>
          <w:b/>
          <w:sz w:val="20"/>
          <w:szCs w:val="20"/>
        </w:rPr>
        <w:t xml:space="preserve">           </w:t>
      </w:r>
      <w:r>
        <w:rPr>
          <w:rFonts w:cs="Palatino Linotype" w:ascii="Palatino Linotype" w:hAnsi="Palatino Linotype"/>
          <w:sz w:val="20"/>
          <w:szCs w:val="20"/>
        </w:rPr>
        <w:t>Będziemy przetwarzać Pani/Pana:</w:t>
      </w:r>
    </w:p>
    <w:p>
      <w:pPr>
        <w:pStyle w:val="Normal"/>
        <w:keepNext w:val="true"/>
        <w:spacing w:lineRule="atLeast" w:line="100" w:before="200" w:after="200"/>
        <w:ind w:left="567" w:right="0" w:hanging="578"/>
        <w:jc w:val="both"/>
        <w:rPr/>
      </w:pPr>
      <w:r>
        <w:rPr>
          <w:rFonts w:eastAsia="Palatino Linotype" w:cs="Palatino Linotype" w:ascii="Palatino Linotype" w:hAnsi="Palatino Linotype"/>
          <w:sz w:val="20"/>
          <w:szCs w:val="20"/>
        </w:rPr>
        <w:t xml:space="preserve">           </w:t>
      </w:r>
      <w:r>
        <w:rPr>
          <w:rFonts w:cs="Palatino Linotype" w:ascii="Palatino Linotype" w:hAnsi="Palatino Linotype"/>
          <w:sz w:val="20"/>
          <w:szCs w:val="20"/>
        </w:rPr>
        <w:t>a)imię i nazwisko, numer telefonu, adres e-mail – dotyczy osób wskazanych do kontaktu w ramach postępowania o udzielenie zamówienia publicznego lub na potrzeby wykonania umowy w sprawie zamówienia publicznego,</w:t>
      </w:r>
    </w:p>
    <w:p>
      <w:pPr>
        <w:pStyle w:val="Normal"/>
        <w:keepNext w:val="true"/>
        <w:spacing w:lineRule="atLeast" w:line="100"/>
        <w:ind w:left="567" w:right="0" w:hanging="578"/>
        <w:jc w:val="both"/>
        <w:rPr/>
      </w:pPr>
      <w:r>
        <w:rPr>
          <w:rFonts w:eastAsia="Palatino Linotype" w:cs="Palatino Linotype" w:ascii="Palatino Linotype" w:hAnsi="Palatino Linotype"/>
          <w:sz w:val="20"/>
          <w:szCs w:val="20"/>
        </w:rPr>
        <w:t xml:space="preserve">            </w:t>
      </w:r>
      <w:r>
        <w:rPr>
          <w:rFonts w:cs="Palatino Linotype" w:ascii="Palatino Linotype" w:hAnsi="Palatino Linotype"/>
          <w:sz w:val="20"/>
          <w:szCs w:val="20"/>
        </w:rPr>
        <w:t xml:space="preserve">b)imię i nazwisko, numer telefonu, adres e-mail oraz dane indentyfikacyjne (np. numer NIP, PESEL, numer dowodu osobistego, data urodzenia – jeżeli zostały przekazane przez uczestnika postępowania o udzielenie zamówienia publicznego) –dotyczy:−osób uprawnionych do reprezentowania wykonawcy lub podwykonawców, −osób fizycznych, które są podwykonawcami, </w:t>
      </w:r>
    </w:p>
    <w:p>
      <w:pPr>
        <w:pStyle w:val="Normal"/>
        <w:keepNext w:val="true"/>
        <w:spacing w:lineRule="atLeast" w:line="100"/>
        <w:ind w:left="567" w:right="0" w:firstLine="45"/>
        <w:jc w:val="both"/>
        <w:rPr>
          <w:rFonts w:ascii="Palatino Linotype" w:hAnsi="Palatino Linotype" w:cs="Palatino Linotype"/>
          <w:sz w:val="20"/>
          <w:szCs w:val="20"/>
        </w:rPr>
      </w:pPr>
      <w:r>
        <w:rPr>
          <w:rFonts w:cs="Palatino Linotype" w:ascii="Palatino Linotype" w:hAnsi="Palatino Linotype"/>
          <w:sz w:val="20"/>
          <w:szCs w:val="20"/>
        </w:rPr>
        <w:t>c) imię i nazwisko, stopień lub tytuł naukowy, posiadana specjalizacja/kwalifikacje/doświadczenie oraz stanowisko, a także informacje na temat doświadczenia niezbędnego do wykonania zamówienia publicznego – dotyczy osób skierowanych do realizacji zamówienia publicznego, w celu dokonania oceny oferty wykonawcy oraz wykonania umowy w sprawie zamówienia publicznego,</w:t>
      </w:r>
    </w:p>
    <w:p>
      <w:pPr>
        <w:pStyle w:val="Normal"/>
        <w:keepNext w:val="true"/>
        <w:spacing w:lineRule="atLeast" w:line="100"/>
        <w:ind w:left="567" w:right="0" w:firstLine="45"/>
        <w:jc w:val="both"/>
        <w:rPr>
          <w:rFonts w:ascii="Palatino Linotype" w:hAnsi="Palatino Linotype" w:cs="Palatino Linotype"/>
          <w:sz w:val="20"/>
          <w:szCs w:val="20"/>
        </w:rPr>
      </w:pPr>
      <w:r>
        <w:rPr>
          <w:rFonts w:cs="Palatino Linotype" w:ascii="Palatino Linotype" w:hAnsi="Palatino Linotype"/>
          <w:sz w:val="20"/>
          <w:szCs w:val="20"/>
        </w:rPr>
        <w:t>d)wizerunek – dotyczy osób skierowanych do wykonania umowy w sprawie zamówienia publicznego polegającego na prowadzeniu zajęć dydaktycznych (prowadzący szkolenia),</w:t>
      </w:r>
    </w:p>
    <w:p>
      <w:pPr>
        <w:pStyle w:val="Normal"/>
        <w:keepNext w:val="true"/>
        <w:spacing w:lineRule="atLeast" w:line="100"/>
        <w:ind w:left="567" w:right="0" w:firstLine="45"/>
        <w:jc w:val="both"/>
        <w:rPr>
          <w:rFonts w:ascii="Palatino Linotype" w:hAnsi="Palatino Linotype" w:cs="Palatino Linotype"/>
          <w:sz w:val="20"/>
          <w:szCs w:val="20"/>
        </w:rPr>
      </w:pPr>
      <w:r>
        <w:rPr>
          <w:rFonts w:cs="Palatino Linotype" w:ascii="Palatino Linotype" w:hAnsi="Palatino Linotype"/>
          <w:sz w:val="20"/>
          <w:szCs w:val="20"/>
        </w:rPr>
        <w:t>e)adres e-mail i głos– dotyczy osób skierowanych do wykonania umowy w sprawie zamówienia publicznego polegającego na prowadzeniu zajęć dydaktycznych.</w:t>
      </w:r>
    </w:p>
    <w:p>
      <w:pPr>
        <w:pStyle w:val="Normal"/>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V. Odbiorcy danych</w:t>
      </w:r>
    </w:p>
    <w:p>
      <w:pPr>
        <w:pStyle w:val="Normal"/>
        <w:keepNext w:val="true"/>
        <w:spacing w:lineRule="atLeast" w:line="100" w:before="200" w:after="2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 xml:space="preserve">Pani/Pana dane osobowe będą udostępnione wyłącznie podmiotom uprawnionym do otrzymania Pani/Pana danych na podstawie obowiązujących przepisów prawa, a w szczególności: </w:t>
      </w:r>
    </w:p>
    <w:p>
      <w:pPr>
        <w:pStyle w:val="Normal"/>
        <w:spacing w:lineRule="atLeast" w:line="100" w:before="200" w:after="200"/>
        <w:ind w:left="567" w:right="0" w:hanging="0"/>
        <w:jc w:val="both"/>
        <w:rPr/>
      </w:pPr>
      <w:r>
        <w:rPr>
          <w:rFonts w:cs="Palatino Linotype" w:ascii="Palatino Linotype" w:hAnsi="Palatino Linotype"/>
          <w:sz w:val="20"/>
          <w:szCs w:val="20"/>
        </w:rPr>
        <w:t>a)</w:t>
      </w:r>
      <w:r>
        <w:rPr>
          <w:rFonts w:cs="Palatino Linotype" w:ascii="Palatino Linotype" w:hAnsi="Palatino Linotype"/>
          <w:sz w:val="20"/>
          <w:szCs w:val="20"/>
          <w:lang w:eastAsia="pl-PL"/>
        </w:rPr>
        <w:t>Instytucji Pośredniczącej (minister właściwy do spraw zdrowia), z siedzibą w Warszawie (00-952) przy ul. Miodowej 15, w szczególności w ramach centralnego systemu teleinformatycznego wykorzystywanego w procesie rozliczania Projektu oraz komunikowania z Instytucją Pośredniczącą, którego administratorem jest Instytucja Zarządzająca (minister właściwy do spraw rozwoju regionalnego), z siedzibą w Warszawie (00-926) przy ul. Wspólnej 2/4</w:t>
      </w:r>
      <w:r>
        <w:rPr>
          <w:rFonts w:cs="Palatino Linotype" w:ascii="Palatino Linotype" w:hAnsi="Palatino Linotype"/>
          <w:sz w:val="20"/>
          <w:szCs w:val="20"/>
        </w:rPr>
        <w:t>,</w:t>
      </w:r>
    </w:p>
    <w:p>
      <w:pPr>
        <w:pStyle w:val="Normal"/>
        <w:keepNext w:val="false"/>
        <w:spacing w:lineRule="atLeast" w:line="100" w:before="200" w:after="2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b)podmiotom przetwarzającym, które wspierają nas systemami teleinformatycznymi oraz dostarczają nam i obsługują nasze systemy informatyczne oraz oprogramowanie wykorzystywane do właściwej realizacji zadań Administratora,</w:t>
      </w:r>
    </w:p>
    <w:p>
      <w:pPr>
        <w:pStyle w:val="Normal"/>
        <w:keepNext w:val="false"/>
        <w:spacing w:lineRule="atLeast" w:line="100" w:before="200" w:after="200"/>
        <w:ind w:left="567" w:right="0" w:hanging="0"/>
        <w:jc w:val="both"/>
        <w:rPr/>
      </w:pPr>
      <w:r>
        <w:rPr>
          <w:rFonts w:cs="Palatino Linotype" w:ascii="Palatino Linotype" w:hAnsi="Palatino Linotype"/>
          <w:sz w:val="20"/>
          <w:szCs w:val="20"/>
        </w:rPr>
        <w:t>c)osobom</w:t>
      </w:r>
      <w:r>
        <w:rPr>
          <w:rFonts w:cs="Palatino Linotype" w:ascii="Palatino Linotype" w:hAnsi="Palatino Linotype"/>
          <w:sz w:val="20"/>
          <w:szCs w:val="20"/>
          <w:lang w:eastAsia="pl-PL"/>
        </w:rPr>
        <w:t xml:space="preserve"> </w:t>
      </w:r>
      <w:r>
        <w:rPr>
          <w:rFonts w:cs="Palatino Linotype" w:ascii="Palatino Linotype" w:hAnsi="Palatino Linotype"/>
          <w:sz w:val="20"/>
          <w:szCs w:val="20"/>
        </w:rPr>
        <w:t xml:space="preserve">innym osobom zaangażowanym w opracowywanie programów specjalistycznych, osobom zaangażowanym w wdrażanie programów specjalistycznych, osobom uczestniczącym w szkoleniu uczestniczącym w szkoleniu. </w:t>
      </w:r>
    </w:p>
    <w:p>
      <w:pPr>
        <w:pStyle w:val="Normal"/>
        <w:keepNext w:val="false"/>
        <w:spacing w:lineRule="atLeast" w:line="100" w:before="200" w:after="2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Ponadto Pani/Pana dane osobowe mogą zostać udostępnione:</w:t>
      </w:r>
    </w:p>
    <w:p>
      <w:pPr>
        <w:pStyle w:val="Normal"/>
        <w:keepNext w:val="false"/>
        <w:spacing w:lineRule="atLeast" w:line="100" w:before="200" w:after="2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a)podmiotom uprawnionym do otrzymania Pani/Pana danych na podstawie obowiązujących przepisów prawa – w tym dane osobowe zawarte w dokumentacji postępowania o udzielenie zamówienia publicznego zgodnie z ustawą Prawo zamówień publicznych oraz dane osobowe zawarte w umowie zgodnie z przepisami o dostępie do informacji publicznej,</w:t>
      </w:r>
    </w:p>
    <w:p>
      <w:pPr>
        <w:pStyle w:val="Normal"/>
        <w:keepNext w:val="false"/>
        <w:spacing w:lineRule="atLeast" w:line="100" w:before="200" w:after="200"/>
        <w:ind w:left="567" w:right="0" w:hanging="0"/>
        <w:jc w:val="both"/>
        <w:rPr/>
      </w:pPr>
      <w:r>
        <w:rPr>
          <w:rFonts w:cs="Palatino Linotype" w:ascii="Palatino Linotype" w:hAnsi="Palatino Linotype"/>
          <w:sz w:val="20"/>
          <w:szCs w:val="20"/>
        </w:rPr>
        <w:t>b)podmiotom przetwarzającym, które świadczą nam usługi prawnicze,</w:t>
      </w:r>
      <w:r>
        <w:rPr>
          <w:rFonts w:cs="Palatino Linotype" w:ascii="Palatino Linotype" w:hAnsi="Palatino Linotype"/>
          <w:b/>
          <w:sz w:val="20"/>
          <w:szCs w:val="20"/>
        </w:rPr>
        <w:t xml:space="preserve"> </w:t>
      </w:r>
    </w:p>
    <w:p>
      <w:pPr>
        <w:pStyle w:val="Normal"/>
        <w:keepNext w:val="false"/>
        <w:spacing w:lineRule="atLeast" w:line="100" w:before="200" w:after="2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 podmiotom wykonującym zadania związane z realizacją Projektu, w szczególności podmiotom realizującym na zlecenie Instytucji Zarządzającej, Instytucji Pośredniczącej lub Administratora badania ewaluacyjne, kontrole i audyt w ramach programu FERS</w:t>
      </w:r>
    </w:p>
    <w:p>
      <w:pPr>
        <w:pStyle w:val="Normal"/>
        <w:keepNext w:val="false"/>
        <w:spacing w:lineRule="atLeast" w:line="100" w:before="200" w:after="200"/>
        <w:ind w:left="567" w:right="0" w:hanging="0"/>
        <w:jc w:val="both"/>
        <w:rPr/>
      </w:pPr>
      <w:r>
        <w:rPr>
          <w:rFonts w:cs="Palatino Linotype" w:ascii="Palatino Linotype" w:hAnsi="Palatino Linotype"/>
          <w:b/>
          <w:sz w:val="20"/>
          <w:szCs w:val="20"/>
        </w:rPr>
        <w:t>VI.</w:t>
        <w:tab/>
        <w:t>Przekazywanie danych do państw trzecich lub organizacji międzynarodowych</w:t>
      </w:r>
      <w:r>
        <w:rPr>
          <w:rFonts w:cs="Palatino Linotype" w:ascii="Palatino Linotype" w:hAnsi="Palatino Linotype"/>
          <w:sz w:val="20"/>
          <w:szCs w:val="20"/>
        </w:rPr>
        <w:t xml:space="preserve"> </w:t>
      </w:r>
    </w:p>
    <w:p>
      <w:pPr>
        <w:pStyle w:val="Normal"/>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 xml:space="preserve">nie przekazujemy Pani/Pana danych poza teren Europejskiego Obszaru Gospodarczego. Jednakże w przypadku prowadzenia zajęć dydaktycznych, dane utrwalone na nagraniu dla prawidłowej funkcjonalności usługi mogą zostać przekazane do podmiotu poza teren Europejskiego Obszaru Gospodarczego, świadczącego dla Administratora taką usługę. Przekazanie danych poza terytorium Europejskiego Obszaru Gospodarczego odbędzie się w oparciu o standardowe klauzule ochrony przyjęte przez Komisję Europejską. </w:t>
      </w:r>
    </w:p>
    <w:p>
      <w:pPr>
        <w:pStyle w:val="Normal"/>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VII.</w:t>
        <w:tab/>
        <w:t xml:space="preserve">Okres przechowywania danych </w:t>
      </w:r>
    </w:p>
    <w:p>
      <w:pPr>
        <w:pStyle w:val="Normal"/>
        <w:ind w:left="567" w:right="0" w:hanging="0"/>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dokumentacji postępowania o udzielenie zamówienia publicznego – będą przechowywane przez okres 4 lat od dnia zakończenia postępowania o udzielenie zamówienia publicznego, zgodnie zobowiązującymi przepisami ustawy Prawo zamówień publicznych.</w:t>
      </w:r>
    </w:p>
    <w:p>
      <w:pPr>
        <w:pStyle w:val="Normal"/>
        <w:ind w:left="567" w:right="0" w:hanging="0"/>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umowie w sprawie zamówienia publicznego – będą przechowywane przez okres 5 lat od początku roku następującego po roku obrotowym, w którym zakończono wykonanie umowy, zgodnie zobowiązującymi przepisami o rachunkowości.</w:t>
      </w:r>
    </w:p>
    <w:p>
      <w:pPr>
        <w:pStyle w:val="Normal"/>
        <w:ind w:left="567" w:right="0" w:hanging="0"/>
        <w:jc w:val="both"/>
        <w:rPr>
          <w:rFonts w:ascii="Palatino Linotype" w:hAnsi="Palatino Linotype" w:cs="Palatino Linotype"/>
          <w:sz w:val="20"/>
          <w:szCs w:val="20"/>
        </w:rPr>
      </w:pPr>
      <w:r>
        <w:rPr>
          <w:rFonts w:cs="Palatino Linotype" w:ascii="Palatino Linotype" w:hAnsi="Palatino Linotype"/>
          <w:sz w:val="20"/>
          <w:szCs w:val="20"/>
        </w:rPr>
        <w:t>Pani/Pana dane osobowe – wizerunek i głos utrwalony na nagraniu wykładu w przypadku osób prowadzących zajęcia (prowadzący szkolenie) – będą przechowywane przez okres 5 lat od dnia zakończenia realizacji projektu. Bez względu na powyższe postanowienia, Pani/Pana dane osobowe będą przechowywane nie krócej niż przez okres dwóch lat od dnia 31 grudnia roku następującego po złożeniu do Komisji Europejskiej zestawienia wydatków, w którym ujęto ostateczne wydatki dotyczące zakończonego Projektu.</w:t>
      </w:r>
    </w:p>
    <w:p>
      <w:pPr>
        <w:pStyle w:val="Normal"/>
        <w:ind w:left="567" w:right="0" w:hanging="0"/>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umowie w sprawie zamówienia publicznego oraz dokumentacji związanej z realizacją tej umowy – będą przechowywane przez okres 25 lat czyli czas niezbędny do realizacji zadań wynikających z celów wskazanych w pkt III lit. c, a następnie, jeśli chodzi o materiały archiwalne, zgodnie z przepisami obowiązującymi w SPZOZ w Łodzi.</w:t>
      </w:r>
    </w:p>
    <w:p>
      <w:pPr>
        <w:pStyle w:val="Normal"/>
        <w:ind w:left="567" w:right="0" w:hanging="0"/>
        <w:jc w:val="both"/>
        <w:rPr>
          <w:rFonts w:ascii="Palatino Linotype" w:hAnsi="Palatino Linotype" w:cs="Palatino Linotype"/>
          <w:b/>
          <w:b/>
          <w:sz w:val="20"/>
          <w:szCs w:val="20"/>
        </w:rPr>
      </w:pPr>
      <w:r>
        <w:rPr>
          <w:rFonts w:cs="Palatino Linotype" w:ascii="Palatino Linotype" w:hAnsi="Palatino Linotype"/>
          <w:b/>
          <w:sz w:val="20"/>
          <w:szCs w:val="20"/>
        </w:rPr>
        <w:t>VIII.</w:t>
        <w:tab/>
        <w:t>Pani/Pana prawa</w:t>
      </w:r>
    </w:p>
    <w:p>
      <w:pPr>
        <w:pStyle w:val="Normal"/>
        <w:keepNext w:val="true"/>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Przysługuje Pani/Panu:</w:t>
      </w:r>
    </w:p>
    <w:p>
      <w:pPr>
        <w:pStyle w:val="Normal"/>
        <w:spacing w:lineRule="atLeast" w:line="100"/>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a)</w:t>
        <w:tab/>
        <w:t>prawo dostępu do Pani/Pana danych osobowych – uzyskania od Administratora potwierdzenia, czy przetwarzane są Pani/Pana dane osobowe, a jeżeli ma to miejsce, uzyskanie dostępu do nich oraz przekazania Pani/Panu informacji w zakresie wskazanym w art. 15 RODO,</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b)</w:t>
        <w:tab/>
        <w:t>prawo do sprostowania Pani/Pana danych osobowych – żądania od Administratora niezwłocznego sprostowania danych osobowych, które są nieprawidłowe oraz uzupełnienia niekompletnych danych osobowych zgodnie z art. 16 RODO, przy czym Pani/Pana żądanie nie może skutkować zmianą wyniku postępowania o udzielenie zamówienia publicznego lub konkursu ani zmianą umowy w zakresie niezgodnym z ustawą Prawo zamówień publicznych,</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c)</w:t>
        <w:tab/>
        <w:t>prawo do usunięcia Pani/Pana danych osobowych – żądania od Administratora niezwłocznego usunięcia danych osobowych, jeżeli spełniona zostanie jedna z przesłanek określonych w art. 17 RODO, m.in. dane osobowe nie są już niezbędne do celów, w których zostały zebrane. Prawo usunięcia danych może zostać ograniczone ze względu na obowiązki Administratora wynikające z obowiązującego prawa,</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d)</w:t>
        <w:tab/>
        <w:t>prawo do ograniczenia przetwarzania Pani/Pana danych osobowych w przypadkach wskazanych w art. 18 RODO, m. in. kwestionowania prawidłowości danych osobowych, przy czym Pani/Pana żądanie nie będzie ograniczać przetwarzania Pani/Pana danych do czasu zakończenia postępowania o udzielenie zamówienia publicznego,</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 xml:space="preserve">e) </w:t>
        <w:tab/>
        <w:t>prawo do przenoszenia Pani/Pana danych osobowych (dotyczy wyłącznie osoby, z którą zostanie zawarta umowa w sprawie zamówienia publicznego) – otrzymania zgodnie z art. 20 RODO od Administratora Pani/Pana danych osobowych w ustrukturyzowanym, powszechnie używanym formacie nadającym się do odczytu maszynowego; może Pani/Pan przesłać te dane innemu administratorowi danych lub żądać by dane osobowe zostały przesłane przez Administratora bezpośrednio innemu administratorowi, o ile jest to technicznie możliwe,</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f)</w:t>
        <w:tab/>
        <w:t>prawo do wniesienia skargi do Prezesa Urzędu Ochrony Danych Osobowych lub innego właściwego organu nadzorczego zajmującego się ochroną danych osobowych zgodnie z art. 77 RODO.</w:t>
      </w:r>
    </w:p>
    <w:p>
      <w:pPr>
        <w:pStyle w:val="Normal"/>
        <w:ind w:left="852" w:right="0" w:hanging="285"/>
        <w:jc w:val="both"/>
        <w:rPr>
          <w:rFonts w:ascii="Palatino Linotype" w:hAnsi="Palatino Linotype" w:cs="Palatino Linotype"/>
          <w:sz w:val="20"/>
          <w:szCs w:val="20"/>
        </w:rPr>
      </w:pPr>
      <w:r>
        <w:rPr>
          <w:rFonts w:cs="Palatino Linotype" w:ascii="Palatino Linotype" w:hAnsi="Palatino Linotype"/>
          <w:sz w:val="20"/>
          <w:szCs w:val="20"/>
        </w:rPr>
        <w:t>g) prawo do cofnięcia zgody na przetwarzanie danych osobowych zgodnie z art. 7 ust. 3 RODO (dotyczy osób wskazanych w pkt IV lit. d).</w:t>
      </w:r>
    </w:p>
    <w:p>
      <w:pPr>
        <w:pStyle w:val="Normal"/>
        <w:spacing w:lineRule="atLeast" w:line="100"/>
        <w:ind w:left="568" w:right="0" w:hanging="0"/>
        <w:jc w:val="both"/>
        <w:rPr>
          <w:rFonts w:ascii="Palatino Linotype" w:hAnsi="Palatino Linotype" w:cs="Palatino Linotype"/>
          <w:sz w:val="20"/>
          <w:szCs w:val="20"/>
        </w:rPr>
      </w:pPr>
      <w:r>
        <w:rPr>
          <w:rFonts w:cs="Palatino Linotype" w:ascii="Palatino Linotype" w:hAnsi="Palatino Linotype"/>
          <w:sz w:val="20"/>
          <w:szCs w:val="20"/>
        </w:rPr>
        <w:t>W celu skorzystania z ww. praw należy skierować żądanie do Administratora Danych Osobowych lub Inspektora Ochrony Danych – dane kontaktowe wskazano w pkt I lub II niniejszej informacji. Proszę pamiętać, że przed realizacją Pani/Pana uprawnień Administrator będzie musiał upewnić się, że Pani/Pan ma powyższe prawo, czyli odpowiednio Panią/Pana zidentyfikować oraz żądać dodatkowych informacji precyzujących Pani/Pana żądania, w szczególności podania nazwy lub daty postępowania o udzielenie zamówienia publicznego.</w:t>
      </w:r>
    </w:p>
    <w:p>
      <w:pPr>
        <w:pStyle w:val="Normal"/>
        <w:spacing w:lineRule="atLeast" w:line="100"/>
        <w:ind w:left="568" w:right="0" w:hanging="0"/>
        <w:jc w:val="both"/>
        <w:rPr/>
      </w:pPr>
      <w:r>
        <w:rPr>
          <w:rFonts w:cs="Palatino Linotype" w:ascii="Palatino Linotype" w:hAnsi="Palatino Linotype"/>
          <w:b/>
          <w:color w:val="000000"/>
          <w:sz w:val="20"/>
          <w:szCs w:val="20"/>
        </w:rPr>
        <w:t xml:space="preserve">IX. </w:t>
      </w:r>
      <w:r>
        <w:rPr>
          <w:rFonts w:cs="Palatino Linotype" w:ascii="Palatino Linotype" w:hAnsi="Palatino Linotype"/>
          <w:b/>
          <w:sz w:val="20"/>
          <w:szCs w:val="20"/>
        </w:rPr>
        <w:t>Informacje o zautomatyzowanym podejmowaniu decyzji, w tym profilowaniu</w:t>
      </w:r>
    </w:p>
    <w:p>
      <w:pPr>
        <w:pStyle w:val="Normal"/>
        <w:spacing w:lineRule="atLeast" w:line="100"/>
        <w:ind w:left="567" w:right="0" w:hanging="0"/>
        <w:jc w:val="both"/>
        <w:rPr>
          <w:rFonts w:ascii="Palatino Linotype" w:hAnsi="Palatino Linotype" w:cs="Palatino Linotype"/>
          <w:sz w:val="20"/>
          <w:szCs w:val="20"/>
        </w:rPr>
      </w:pPr>
      <w:r>
        <w:rPr>
          <w:rFonts w:cs="Palatino Linotype" w:ascii="Palatino Linotype" w:hAnsi="Palatino Linotype"/>
          <w:sz w:val="20"/>
          <w:szCs w:val="20"/>
        </w:rPr>
        <w:t>Pani/Pana dane osobowe nie będą podlegały zautomatyzowanemu podejmowaniu decyzji, w tym profilowaniu.</w:t>
      </w:r>
    </w:p>
    <w:p>
      <w:pPr>
        <w:pStyle w:val="ListParagraph"/>
        <w:spacing w:lineRule="atLeast" w:line="100" w:before="200" w:after="200"/>
        <w:ind w:left="567" w:right="0" w:hanging="578"/>
        <w:jc w:val="both"/>
        <w:rPr/>
      </w:pPr>
      <w:r>
        <w:rPr/>
      </w:r>
    </w:p>
    <w:p>
      <w:pPr>
        <w:pStyle w:val="ListParagraph"/>
        <w:spacing w:lineRule="atLeast" w:line="100" w:before="200" w:after="200"/>
        <w:ind w:left="567" w:right="0" w:hanging="578"/>
        <w:jc w:val="both"/>
        <w:rPr/>
      </w:pPr>
      <w:r>
        <w:rPr/>
      </w:r>
    </w:p>
    <w:sectPr>
      <w:headerReference w:type="even" r:id="rId3"/>
      <w:headerReference w:type="default" r:id="rId4"/>
      <w:footerReference w:type="even" r:id="rId5"/>
      <w:footerReference w:type="default" r:id="rId6"/>
      <w:type w:val="nextPage"/>
      <w:pgSz w:w="11906" w:h="16838"/>
      <w:pgMar w:left="1417" w:right="1417" w:gutter="0" w:header="709" w:top="766" w:footer="709" w:bottom="76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Palatino Linotype">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alibri">
    <w:charset w:val="ee"/>
    <w:family w:val="roman"/>
    <w:pitch w:val="variable"/>
  </w:font>
  <w:font w:name="Segoe UI">
    <w:charset w:val="ee"/>
    <w:family w:val="roman"/>
    <w:pitch w:val="variable"/>
  </w:font>
  <w:font w:name="Tahoma">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4" w:space="1" w:color="000000"/>
      </w:pBdr>
      <w:ind w:left="0" w:right="0" w:hanging="0"/>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4</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4" w:space="1" w:color="000000"/>
      </w:pBdr>
      <w:ind w:left="0" w:right="0" w:hanging="0"/>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3</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ind w:left="0" w:right="0" w:hanging="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ind w:left="0" w:right="0" w:hanging="0"/>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928" w:hanging="360"/>
      </w:pPr>
      <w:rPr>
        <w:sz w:val="20"/>
        <w:b w:val="false"/>
        <w:szCs w:val="20"/>
        <w:bCs w:val="false"/>
        <w:rFonts w:ascii="Palatino Linotype" w:hAnsi="Palatino Linotype" w:cs="Times New Roman"/>
      </w:rPr>
    </w:lvl>
    <w:lvl w:ilvl="1">
      <w:start w:val="1"/>
      <w:numFmt w:val="lowerLetter"/>
      <w:lvlText w:val="%2."/>
      <w:lvlJc w:val="left"/>
      <w:pPr>
        <w:tabs>
          <w:tab w:val="num" w:pos="0"/>
        </w:tabs>
        <w:ind w:left="1648" w:hanging="360"/>
      </w:pPr>
      <w:rPr/>
    </w:lvl>
    <w:lvl w:ilvl="2">
      <w:start w:val="1"/>
      <w:numFmt w:val="lowerRoman"/>
      <w:lvlText w:val="%2.%3."/>
      <w:lvlJc w:val="right"/>
      <w:pPr>
        <w:tabs>
          <w:tab w:val="num" w:pos="0"/>
        </w:tabs>
        <w:ind w:left="2368" w:hanging="180"/>
      </w:pPr>
      <w:rPr/>
    </w:lvl>
    <w:lvl w:ilvl="3">
      <w:start w:val="1"/>
      <w:numFmt w:val="decimal"/>
      <w:lvlText w:val="%2.%3.%4."/>
      <w:lvlJc w:val="left"/>
      <w:pPr>
        <w:tabs>
          <w:tab w:val="num" w:pos="0"/>
        </w:tabs>
        <w:ind w:left="3088" w:hanging="360"/>
      </w:pPr>
      <w:rPr/>
    </w:lvl>
    <w:lvl w:ilvl="4">
      <w:start w:val="1"/>
      <w:numFmt w:val="lowerLetter"/>
      <w:lvlText w:val="%2.%3.%4.%5."/>
      <w:lvlJc w:val="left"/>
      <w:pPr>
        <w:tabs>
          <w:tab w:val="num" w:pos="0"/>
        </w:tabs>
        <w:ind w:left="3808" w:hanging="360"/>
      </w:pPr>
      <w:rPr/>
    </w:lvl>
    <w:lvl w:ilvl="5">
      <w:start w:val="1"/>
      <w:numFmt w:val="lowerRoman"/>
      <w:lvlText w:val="%2.%3.%4.%5.%6."/>
      <w:lvlJc w:val="right"/>
      <w:pPr>
        <w:tabs>
          <w:tab w:val="num" w:pos="0"/>
        </w:tabs>
        <w:ind w:left="4528" w:hanging="180"/>
      </w:pPr>
      <w:rPr/>
    </w:lvl>
    <w:lvl w:ilvl="6">
      <w:start w:val="1"/>
      <w:numFmt w:val="decimal"/>
      <w:lvlText w:val="%2.%3.%4.%5.%6.%7."/>
      <w:lvlJc w:val="left"/>
      <w:pPr>
        <w:tabs>
          <w:tab w:val="num" w:pos="0"/>
        </w:tabs>
        <w:ind w:left="5248" w:hanging="360"/>
      </w:pPr>
      <w:rPr/>
    </w:lvl>
    <w:lvl w:ilvl="7">
      <w:start w:val="1"/>
      <w:numFmt w:val="lowerLetter"/>
      <w:lvlText w:val="%2.%3.%4.%5.%6.%7.%8."/>
      <w:lvlJc w:val="left"/>
      <w:pPr>
        <w:tabs>
          <w:tab w:val="num" w:pos="0"/>
        </w:tabs>
        <w:ind w:left="5968" w:hanging="360"/>
      </w:pPr>
      <w:rPr/>
    </w:lvl>
    <w:lvl w:ilvl="8">
      <w:start w:val="1"/>
      <w:numFmt w:val="lowerRoman"/>
      <w:lvlText w:val="%2.%3.%4.%5.%6.%7.%8.%9."/>
      <w:lvlJc w:val="right"/>
      <w:pPr>
        <w:tabs>
          <w:tab w:val="num" w:pos="0"/>
        </w:tabs>
        <w:ind w:left="6688"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8"/>
  <w:autoHyphenation w:val="true"/>
  <w:evenAndOddHeaders/>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character" w:styleId="WW8Num1z0">
    <w:name w:val="WW8Num1z0"/>
    <w:qFormat/>
    <w:rPr>
      <w:rFonts w:ascii="Palatino Linotype" w:hAnsi="Palatino Linotype" w:cs="Times New Roman"/>
      <w:b w:val="false"/>
      <w:bCs w:val="false"/>
      <w:sz w:val="20"/>
      <w:szCs w:val="20"/>
    </w:rPr>
  </w:style>
  <w:style w:type="character" w:styleId="Domylnaczcionkaakapitu">
    <w:name w:val="Domyślna czcionka akapitu"/>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Palatino Linotype" w:hAnsi="Palatino Linotype" w:cs="Palatino Linotype"/>
      <w:b/>
      <w:color w:val="00000A"/>
      <w:sz w:val="20"/>
      <w:szCs w:val="20"/>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Palatino Linotype" w:hAnsi="Palatino Linotype" w:cs="Palatino Linotype"/>
      <w:b/>
      <w:sz w:val="20"/>
      <w:szCs w:val="20"/>
      <w:shd w:fill="FFFFFF" w:val="clear"/>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Palatino Linotype" w:hAnsi="Palatino Linotype" w:cs="Times New Roman"/>
      <w:b/>
      <w:color w:val="000000"/>
      <w:sz w:val="20"/>
      <w:szCs w:val="20"/>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Palatino Linotype" w:hAnsi="Palatino Linotype" w:cs="Palatino Linotype"/>
      <w:sz w:val="20"/>
      <w:szCs w:val="20"/>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Palatino Linotype" w:hAnsi="Palatino Linotype" w:cs="Palatino Linotype"/>
      <w:b/>
      <w:sz w:val="20"/>
      <w:szCs w:val="20"/>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Domylnaczcionkaakapitu1">
    <w:name w:val="Domyślna czcionka akapitu1"/>
    <w:qFormat/>
    <w:rPr/>
  </w:style>
  <w:style w:type="character" w:styleId="DefaultParagraphFont">
    <w:name w:val="Default Paragraph Font"/>
    <w:qFormat/>
    <w:rPr/>
  </w:style>
  <w:style w:type="character" w:styleId="Czeinternetowe">
    <w:name w:val="Hyperlink"/>
    <w:rPr>
      <w:rFonts w:cs="Times New Roman"/>
      <w:color w:val="FF0000"/>
      <w:u w:val="single" w:color="000000"/>
      <w:lang w:val="zxx" w:bidi="zxx"/>
    </w:rPr>
  </w:style>
  <w:style w:type="character" w:styleId="Znakiprzypiswdolnych">
    <w:name w:val="Znaki przypisów dolnych"/>
    <w:qFormat/>
    <w:rPr/>
  </w:style>
  <w:style w:type="character" w:styleId="Zakotwiczenieprzypisudolnego">
    <w:name w:val="Footnote Reference"/>
    <w:rPr>
      <w:rFonts w:cs="Times New Roman"/>
      <w:vertAlign w:val="superscript"/>
    </w:rPr>
  </w:style>
  <w:style w:type="character" w:styleId="AkapitzlistZnak">
    <w:name w:val="Akapit z listą Znak"/>
    <w:qFormat/>
    <w:rPr>
      <w:rFonts w:ascii="Calibri" w:hAnsi="Calibri" w:cs="Calibri"/>
      <w:lang w:val="en-US"/>
    </w:rPr>
  </w:style>
  <w:style w:type="character" w:styleId="TytuZnak">
    <w:name w:val="Tytuł Znak"/>
    <w:qFormat/>
    <w:rPr>
      <w:rFonts w:cs="Times New Roman"/>
      <w:b/>
      <w:sz w:val="28"/>
      <w:szCs w:val="28"/>
      <w:lang w:val="en-US"/>
    </w:rPr>
  </w:style>
  <w:style w:type="character" w:styleId="TekstprzypisudolnegoZnak">
    <w:name w:val="Tekst przypisu dolnego Znak"/>
    <w:qFormat/>
    <w:rPr>
      <w:rFonts w:ascii="Calibri" w:hAnsi="Calibri" w:cs="Arial"/>
      <w:sz w:val="20"/>
      <w:szCs w:val="20"/>
      <w:lang w:val="en-US"/>
    </w:rPr>
  </w:style>
  <w:style w:type="character" w:styleId="TekstdymkaZnak">
    <w:name w:val="Tekst dymka Znak"/>
    <w:qFormat/>
    <w:rPr>
      <w:rFonts w:ascii="Segoe UI" w:hAnsi="Segoe UI" w:cs="Segoe UI"/>
      <w:sz w:val="18"/>
      <w:szCs w:val="18"/>
    </w:rPr>
  </w:style>
  <w:style w:type="character" w:styleId="Annotationreference">
    <w:name w:val="annotation reference"/>
    <w:qFormat/>
    <w:rPr>
      <w:rFonts w:cs="Times New Roman"/>
      <w:sz w:val="16"/>
    </w:rPr>
  </w:style>
  <w:style w:type="character" w:styleId="TekstkomentarzaZnak">
    <w:name w:val="Tekst komentarza Znak"/>
    <w:qFormat/>
    <w:rPr>
      <w:sz w:val="20"/>
    </w:rPr>
  </w:style>
  <w:style w:type="character" w:styleId="TekstkomentarzaZnak1">
    <w:name w:val="Tekst komentarza Znak1"/>
    <w:qFormat/>
    <w:rPr>
      <w:rFonts w:cs="Times New Roman"/>
      <w:sz w:val="20"/>
      <w:szCs w:val="20"/>
    </w:rPr>
  </w:style>
  <w:style w:type="character" w:styleId="TematkomentarzaZnak">
    <w:name w:val="Temat komentarza Znak"/>
    <w:qFormat/>
    <w:rPr>
      <w:rFonts w:cs="Times New Roman"/>
      <w:b/>
      <w:bCs/>
      <w:sz w:val="20"/>
      <w:szCs w:val="20"/>
    </w:rPr>
  </w:style>
  <w:style w:type="character" w:styleId="UnresolvedMention">
    <w:name w:val="Unresolved Mention"/>
    <w:qFormat/>
    <w:rPr>
      <w:rFonts w:cs="Times New Roman"/>
      <w:color w:val="808080"/>
    </w:rPr>
  </w:style>
  <w:style w:type="character" w:styleId="NagwekZnak">
    <w:name w:val="Nagłówek Znak"/>
    <w:qFormat/>
    <w:rPr>
      <w:rFonts w:cs="Times New Roman"/>
      <w:sz w:val="24"/>
      <w:szCs w:val="24"/>
    </w:rPr>
  </w:style>
  <w:style w:type="character" w:styleId="StopkaZnak">
    <w:name w:val="Stopka Znak"/>
    <w:qFormat/>
    <w:rPr>
      <w:rFonts w:cs="Times New Roman"/>
      <w:sz w:val="24"/>
      <w:szCs w:val="24"/>
    </w:rPr>
  </w:style>
  <w:style w:type="character" w:styleId="Odwoanieprzypisudolnego1">
    <w:name w:val="Odwołanie przypisu dolnego1"/>
    <w:qFormat/>
    <w:rPr>
      <w:vertAlign w:val="superscript"/>
    </w:rPr>
  </w:style>
  <w:style w:type="character" w:styleId="Znakiprzypiswkocowych">
    <w:name w:val="Znaki przypisów końcowych"/>
    <w:qFormat/>
    <w:rPr>
      <w:vertAlign w:val="superscript"/>
    </w:rPr>
  </w:style>
  <w:style w:type="character" w:styleId="WWZnakiprzypiswkocowych">
    <w:name w:val="WW-Znaki przypisów końcowych"/>
    <w:qFormat/>
    <w:rPr/>
  </w:style>
  <w:style w:type="character" w:styleId="Odwoanieprzypisukocowego1">
    <w:name w:val="Odwołanie przypisu końcowego1"/>
    <w:qFormat/>
    <w:rPr>
      <w:vertAlign w:val="superscript"/>
    </w:rPr>
  </w:style>
  <w:style w:type="character" w:styleId="Znakinumeracji">
    <w:name w:val="Znaki numeracji"/>
    <w:qFormat/>
    <w:rPr/>
  </w:style>
  <w:style w:type="character" w:styleId="Odwoanieprzypisudolnego">
    <w:name w:val="Odwołanie przypisu dolnego"/>
    <w:qFormat/>
    <w:rPr>
      <w:vertAlign w:val="superscript"/>
    </w:rPr>
  </w:style>
  <w:style w:type="character" w:styleId="Odwoanieprzypisukocowego">
    <w:name w:val="Odwołanie przypisu końcowego"/>
    <w:qFormat/>
    <w:rPr>
      <w:vertAlign w:val="superscript"/>
    </w:rPr>
  </w:style>
  <w:style w:type="character" w:styleId="TekstdymkaZnak1">
    <w:name w:val="Tekst dymka Znak1"/>
    <w:qFormat/>
    <w:rPr>
      <w:rFonts w:ascii="Tahoma" w:hAnsi="Tahoma" w:cs="Tahoma"/>
      <w:sz w:val="16"/>
      <w:szCs w:val="16"/>
      <w:lang w:eastAsia="zh-CN"/>
    </w:rPr>
  </w:style>
  <w:style w:type="character" w:styleId="Numeracjawierszy">
    <w:name w:val="Line Number"/>
    <w:rPr/>
  </w:style>
  <w:style w:type="paragraph" w:styleId="Nagwek">
    <w:name w:val="Nagłówek"/>
    <w:basedOn w:val="Normal"/>
    <w:next w:val="Podtytu"/>
    <w:qFormat/>
    <w:pPr>
      <w:numPr>
        <w:ilvl w:val="0"/>
        <w:numId w:val="0"/>
      </w:numPr>
      <w:spacing w:lineRule="atLeast" w:line="240" w:before="120" w:after="120"/>
      <w:ind w:left="0" w:right="0" w:hanging="0"/>
      <w:jc w:val="center"/>
    </w:pPr>
    <w:rPr>
      <w:b/>
      <w:bCs/>
      <w:sz w:val="28"/>
      <w:szCs w:val="28"/>
    </w:rPr>
  </w:style>
  <w:style w:type="paragraph" w:styleId="Tretekstu">
    <w:name w:val="Body Text"/>
    <w:basedOn w:val="Normal"/>
    <w:pPr>
      <w:spacing w:before="0" w:after="12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Arial"/>
    </w:rPr>
  </w:style>
  <w:style w:type="paragraph" w:styleId="Nagwek2">
    <w:name w:val="Nagłówek2"/>
    <w:basedOn w:val="Normal"/>
    <w:next w:val="Tretekstu"/>
    <w:qFormat/>
    <w:pPr>
      <w:keepNext w:val="true"/>
      <w:spacing w:before="240" w:after="120"/>
    </w:pPr>
    <w:rPr>
      <w:rFonts w:ascii="Arial" w:hAnsi="Arial" w:eastAsia="Microsoft YaHei" w:cs="Lucida Sans"/>
      <w:sz w:val="28"/>
      <w:szCs w:val="28"/>
    </w:rPr>
  </w:style>
  <w:style w:type="paragraph" w:styleId="Legenda">
    <w:name w:val="Legenda"/>
    <w:basedOn w:val="Normal"/>
    <w:qFormat/>
    <w:pPr>
      <w:suppressLineNumbers/>
      <w:spacing w:before="120" w:after="120"/>
    </w:pPr>
    <w:rPr>
      <w:rFonts w:cs="Lucida Sans"/>
      <w:i/>
      <w:iCs/>
      <w:sz w:val="24"/>
      <w:szCs w:val="24"/>
    </w:rPr>
  </w:style>
  <w:style w:type="paragraph" w:styleId="Nagwek1">
    <w:name w:val="Nagłówek1"/>
    <w:basedOn w:val="Normal"/>
    <w:next w:val="Tretekstu"/>
    <w:qFormat/>
    <w:pPr>
      <w:keepNext w:val="true"/>
      <w:spacing w:before="240" w:after="120"/>
    </w:pPr>
    <w:rPr>
      <w:rFonts w:ascii="Arial" w:hAnsi="Arial" w:eastAsia="Microsoft YaHei" w:cs="Arial"/>
      <w:sz w:val="28"/>
      <w:szCs w:val="28"/>
    </w:rPr>
  </w:style>
  <w:style w:type="paragraph" w:styleId="Podpis1">
    <w:name w:val="Podpis1"/>
    <w:basedOn w:val="Normal"/>
    <w:qFormat/>
    <w:pPr>
      <w:suppressLineNumbers/>
      <w:spacing w:before="120" w:after="120"/>
    </w:pPr>
    <w:rPr>
      <w:rFonts w:cs="Arial"/>
      <w:i/>
      <w:iCs/>
      <w:sz w:val="24"/>
      <w:szCs w:val="24"/>
    </w:rPr>
  </w:style>
  <w:style w:type="paragraph" w:styleId="ListParagraph">
    <w:name w:val="List Paragraph"/>
    <w:basedOn w:val="Normal"/>
    <w:qFormat/>
    <w:pPr>
      <w:numPr>
        <w:ilvl w:val="0"/>
        <w:numId w:val="0"/>
      </w:numPr>
      <w:spacing w:lineRule="auto" w:line="252" w:before="0" w:after="160"/>
      <w:ind w:left="720" w:right="0" w:hanging="0"/>
    </w:pPr>
    <w:rPr>
      <w:rFonts w:ascii="Calibri" w:hAnsi="Calibri" w:cs="Calibri"/>
      <w:sz w:val="22"/>
      <w:szCs w:val="22"/>
    </w:rPr>
  </w:style>
  <w:style w:type="paragraph" w:styleId="Podtytu">
    <w:name w:val="Subtitle"/>
    <w:basedOn w:val="Nagwek1"/>
    <w:next w:val="Tretekstu"/>
    <w:qFormat/>
    <w:pPr>
      <w:jc w:val="center"/>
    </w:pPr>
    <w:rPr>
      <w:i/>
      <w:iCs/>
      <w:sz w:val="28"/>
      <w:szCs w:val="28"/>
    </w:rPr>
  </w:style>
  <w:style w:type="paragraph" w:styleId="Przypisdolny">
    <w:name w:val="Footnote Text"/>
    <w:basedOn w:val="Normal"/>
    <w:qFormat/>
    <w:pPr>
      <w:numPr>
        <w:ilvl w:val="0"/>
        <w:numId w:val="0"/>
      </w:numPr>
      <w:suppressLineNumbers/>
      <w:ind w:left="283" w:right="0" w:hanging="283"/>
    </w:pPr>
    <w:rPr>
      <w:sz w:val="20"/>
      <w:szCs w:val="20"/>
    </w:rPr>
  </w:style>
  <w:style w:type="paragraph" w:styleId="BalloonText">
    <w:name w:val="Balloon Text"/>
    <w:basedOn w:val="Normal"/>
    <w:qFormat/>
    <w:pPr>
      <w:numPr>
        <w:ilvl w:val="0"/>
        <w:numId w:val="0"/>
      </w:numPr>
      <w:ind w:left="0" w:right="0" w:hanging="0"/>
    </w:pPr>
    <w:rPr>
      <w:rFonts w:ascii="Segoe UI" w:hAnsi="Segoe UI" w:cs="Segoe UI"/>
      <w:sz w:val="18"/>
      <w:szCs w:val="18"/>
    </w:rPr>
  </w:style>
  <w:style w:type="paragraph" w:styleId="Tekstkomentarza1">
    <w:name w:val="Tekst komentarza1"/>
    <w:basedOn w:val="Normal"/>
    <w:qFormat/>
    <w:pPr>
      <w:numPr>
        <w:ilvl w:val="0"/>
        <w:numId w:val="0"/>
      </w:numPr>
      <w:spacing w:before="0" w:after="160"/>
      <w:ind w:left="0" w:right="0" w:hanging="0"/>
    </w:pPr>
    <w:rPr>
      <w:sz w:val="20"/>
      <w:szCs w:val="20"/>
    </w:rPr>
  </w:style>
  <w:style w:type="paragraph" w:styleId="Annotationtext">
    <w:name w:val="annotation text"/>
    <w:basedOn w:val="Normal"/>
    <w:qFormat/>
    <w:pPr>
      <w:numPr>
        <w:ilvl w:val="0"/>
        <w:numId w:val="0"/>
      </w:numPr>
      <w:ind w:left="0" w:right="0" w:hanging="0"/>
    </w:pPr>
    <w:rPr>
      <w:sz w:val="20"/>
      <w:szCs w:val="20"/>
    </w:rPr>
  </w:style>
  <w:style w:type="paragraph" w:styleId="Annotationsubject">
    <w:name w:val="annotation subject"/>
    <w:basedOn w:val="Annotationtext"/>
    <w:qFormat/>
    <w:pPr>
      <w:numPr>
        <w:ilvl w:val="0"/>
        <w:numId w:val="0"/>
      </w:numPr>
      <w:ind w:left="0" w:right="0" w:hanging="0"/>
    </w:pPr>
    <w:rPr>
      <w:b/>
      <w:bCs/>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pPr>
      <w:numPr>
        <w:ilvl w:val="0"/>
        <w:numId w:val="0"/>
      </w:numPr>
      <w:suppressLineNumbers/>
      <w:tabs>
        <w:tab w:val="clear" w:pos="708"/>
        <w:tab w:val="center" w:pos="4536" w:leader="none"/>
        <w:tab w:val="right" w:pos="9072" w:leader="none"/>
      </w:tabs>
      <w:ind w:left="0" w:right="0" w:hanging="0"/>
    </w:pPr>
    <w:rPr/>
  </w:style>
  <w:style w:type="paragraph" w:styleId="Stopka">
    <w:name w:val="Footer"/>
    <w:basedOn w:val="Normal"/>
    <w:pPr>
      <w:numPr>
        <w:ilvl w:val="0"/>
        <w:numId w:val="0"/>
      </w:numPr>
      <w:suppressLineNumbers/>
      <w:tabs>
        <w:tab w:val="clear" w:pos="708"/>
        <w:tab w:val="center" w:pos="4536" w:leader="none"/>
        <w:tab w:val="right" w:pos="9072" w:leader="none"/>
      </w:tabs>
      <w:ind w:left="0" w:right="0" w:hanging="0"/>
    </w:pPr>
    <w:rPr/>
  </w:style>
  <w:style w:type="paragraph" w:styleId="Caption">
    <w:name w:val="caption"/>
    <w:basedOn w:val="Normal"/>
    <w:qFormat/>
    <w:pPr>
      <w:numPr>
        <w:ilvl w:val="0"/>
        <w:numId w:val="0"/>
      </w:numPr>
      <w:ind w:left="0" w:right="0" w:hanging="0"/>
    </w:pPr>
    <w:rPr>
      <w:b/>
      <w:bCs/>
      <w:sz w:val="20"/>
      <w:szCs w:val="20"/>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Tekstdymka">
    <w:name w:val="Tekst dymka"/>
    <w:basedOn w:val="Normal"/>
    <w:qFormat/>
    <w:pPr/>
    <w:rPr>
      <w:rFonts w:ascii="Tahoma" w:hAnsi="Tahoma" w:cs="Tahoma"/>
      <w:sz w:val="16"/>
      <w:szCs w:val="16"/>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9</TotalTime>
  <Application>LibreOffice/7.4.3.2$Windows_X86_64 LibreOffice_project/1048a8393ae2eeec98dff31b5c133c5f1d08b890</Application>
  <AppVersion>15.0000</AppVersion>
  <Pages>4</Pages>
  <Words>1359</Words>
  <Characters>9345</Characters>
  <CharactersWithSpaces>10726</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2021-02-17T21:25:00Z</dcterms:created>
  <dc:creator>Andrzej Jędrzejczak</dc:creator>
  <dc:description/>
  <dc:language>pl-PL</dc:language>
  <cp:lastModifiedBy/>
  <cp:lastPrinted>2020-02-06T08:06:00Z</cp:lastPrinted>
  <dcterms:modified xsi:type="dcterms:W3CDTF">2025-03-06T13:18:29Z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