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pPr>
      <w:r>
        <w:rPr/>
      </w:r>
    </w:p>
    <w:p>
      <w:pPr>
        <w:pStyle w:val="Normal"/>
        <w:jc w:val="center"/>
        <w:rPr>
          <w:rFonts w:ascii="Palatino Linotype" w:hAnsi="Palatino Linotype" w:cs="Palatino Linotype"/>
          <w:b/>
          <w:b/>
          <w:sz w:val="20"/>
          <w:szCs w:val="20"/>
        </w:rPr>
      </w:pPr>
      <w:r>
        <w:rPr/>
        <w:drawing>
          <wp:inline distT="0" distB="0" distL="0" distR="0">
            <wp:extent cx="6079490" cy="779780"/>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9" t="-67" r="-9" b="-67"/>
                    <a:stretch>
                      <a:fillRect/>
                    </a:stretch>
                  </pic:blipFill>
                  <pic:spPr bwMode="auto">
                    <a:xfrm>
                      <a:off x="0" y="0"/>
                      <a:ext cx="6079490" cy="779780"/>
                    </a:xfrm>
                    <a:prstGeom prst="rect">
                      <a:avLst/>
                    </a:prstGeom>
                  </pic:spPr>
                </pic:pic>
              </a:graphicData>
            </a:graphic>
          </wp:inline>
        </w:drawing>
      </w:r>
    </w:p>
    <w:tbl>
      <w:tblPr>
        <w:tblW w:w="9564" w:type="dxa"/>
        <w:jc w:val="left"/>
        <w:tblInd w:w="18" w:type="dxa"/>
        <w:tblLayout w:type="fixed"/>
        <w:tblCellMar>
          <w:top w:w="0" w:type="dxa"/>
          <w:left w:w="108" w:type="dxa"/>
          <w:bottom w:w="0" w:type="dxa"/>
          <w:right w:w="108" w:type="dxa"/>
        </w:tblCellMar>
      </w:tblPr>
      <w:tblGrid>
        <w:gridCol w:w="9564"/>
      </w:tblGrid>
      <w:tr>
        <w:trPr>
          <w:trHeight w:val="132" w:hRule="atLeast"/>
        </w:trPr>
        <w:tc>
          <w:tcPr>
            <w:tcW w:w="9564" w:type="dxa"/>
            <w:tcBorders>
              <w:top w:val="single" w:sz="4" w:space="0" w:color="000000"/>
              <w:left w:val="single" w:sz="4" w:space="0" w:color="000000"/>
              <w:bottom w:val="single" w:sz="4" w:space="0" w:color="000000"/>
              <w:right w:val="single" w:sz="4" w:space="0" w:color="000000"/>
            </w:tcBorders>
            <w:shd w:fill="D9D9D9" w:val="clear"/>
          </w:tcPr>
          <w:p>
            <w:pPr>
              <w:pStyle w:val="Normal"/>
              <w:widowControl w:val="false"/>
              <w:jc w:val="right"/>
              <w:rPr>
                <w:rFonts w:ascii="Palatino Linotype" w:hAnsi="Palatino Linotype" w:cs="Palatino Linotype"/>
                <w:b/>
                <w:b/>
                <w:sz w:val="20"/>
                <w:szCs w:val="20"/>
              </w:rPr>
            </w:pPr>
            <w:r>
              <w:rPr>
                <w:rFonts w:cs="Palatino Linotype" w:ascii="Palatino Linotype" w:hAnsi="Palatino Linotype"/>
                <w:b/>
                <w:sz w:val="20"/>
                <w:szCs w:val="20"/>
              </w:rPr>
              <w:t>Załącznik nr 5 do SWZ</w:t>
            </w:r>
          </w:p>
        </w:tc>
      </w:tr>
      <w:tr>
        <w:trPr>
          <w:trHeight w:val="548" w:hRule="atLeast"/>
        </w:trPr>
        <w:tc>
          <w:tcPr>
            <w:tcW w:w="9564"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
              <w:widowControl w:val="false"/>
              <w:jc w:val="center"/>
              <w:rPr>
                <w:rFonts w:ascii="Palatino Linotype" w:hAnsi="Palatino Linotype" w:cs="Palatino Linotype"/>
                <w:b/>
                <w:b/>
                <w:sz w:val="20"/>
                <w:szCs w:val="20"/>
              </w:rPr>
            </w:pPr>
            <w:r>
              <w:rPr>
                <w:rFonts w:cs="Palatino Linotype" w:ascii="Palatino Linotype" w:hAnsi="Palatino Linotype"/>
                <w:b/>
                <w:sz w:val="20"/>
                <w:szCs w:val="20"/>
              </w:rPr>
              <w:t>KLAUZULA INFORMACYJNA DOTYCZĄCA PRZETWARZANIA DANYCH OSOBOWYCH OSÓB FIZYCZNYCH</w:t>
            </w:r>
          </w:p>
        </w:tc>
      </w:tr>
    </w:tbl>
    <w:p>
      <w:pPr>
        <w:pStyle w:val="Nagwek"/>
        <w:spacing w:lineRule="atLeast" w:line="100" w:before="0" w:after="0"/>
        <w:ind w:left="0" w:right="0" w:hanging="0"/>
        <w:rPr>
          <w:rFonts w:ascii="Palatino Linotype" w:hAnsi="Palatino Linotype" w:cs="Palatino Linotype"/>
          <w:sz w:val="20"/>
          <w:szCs w:val="20"/>
        </w:rPr>
      </w:pPr>
      <w:r>
        <w:rPr>
          <w:rFonts w:cs="Palatino Linotype" w:ascii="Palatino Linotype" w:hAnsi="Palatino Linotype"/>
          <w:sz w:val="20"/>
          <w:szCs w:val="20"/>
        </w:rPr>
        <w:t>INFORMACJA</w:t>
      </w:r>
    </w:p>
    <w:p>
      <w:pPr>
        <w:pStyle w:val="Nagwek"/>
        <w:spacing w:lineRule="atLeast" w:line="100" w:before="0" w:after="240"/>
        <w:ind w:left="0" w:right="0" w:hanging="0"/>
        <w:rPr>
          <w:rFonts w:ascii="Palatino Linotype" w:hAnsi="Palatino Linotype" w:cs="Palatino Linotype"/>
          <w:sz w:val="20"/>
          <w:szCs w:val="20"/>
        </w:rPr>
      </w:pPr>
      <w:r>
        <w:rPr>
          <w:rFonts w:cs="Palatino Linotype" w:ascii="Palatino Linotype" w:hAnsi="Palatino Linotype"/>
          <w:sz w:val="20"/>
          <w:szCs w:val="20"/>
        </w:rPr>
        <w:t xml:space="preserve">o przetwarzaniu Pani/Pana danych osobowych </w:t>
      </w:r>
    </w:p>
    <w:p>
      <w:pPr>
        <w:pStyle w:val="Normal"/>
        <w:jc w:val="both"/>
        <w:rPr/>
      </w:pPr>
      <w:r>
        <w:rPr>
          <w:rFonts w:cs="Palatino Linotype" w:ascii="Palatino Linotype" w:hAnsi="Palatino Linotype"/>
          <w:sz w:val="20"/>
          <w:szCs w:val="20"/>
        </w:rPr>
        <w:t xml:space="preserve">Zgodnie z </w:t>
      </w:r>
      <w:r>
        <w:rPr>
          <w:rFonts w:cs="Palatino Linotype" w:ascii="Palatino Linotype" w:hAnsi="Palatino Linotype"/>
          <w:b/>
          <w:sz w:val="20"/>
          <w:szCs w:val="20"/>
        </w:rPr>
        <w:t>art. 13</w:t>
      </w:r>
      <w:r>
        <w:rPr>
          <w:rFonts w:cs="Palatino Linotype" w:ascii="Palatino Linotype" w:hAnsi="Palatino Linotype"/>
          <w:sz w:val="20"/>
          <w:szCs w:val="20"/>
        </w:rPr>
        <w:t xml:space="preserve"> </w:t>
      </w:r>
      <w:r>
        <w:rPr>
          <w:rFonts w:cs="Palatino Linotype" w:ascii="Palatino Linotype" w:hAnsi="Palatino Linotype"/>
          <w:bCs/>
          <w:sz w:val="20"/>
          <w:szCs w:val="20"/>
        </w:rPr>
        <w:t>rozporządzenia Parlamentu Europejskiego i Rady (UE) nr 2016/679 z dnia 27 kwietnia 2016 r. w sprawie ochrony osób fizycznych w związku z przetwarzaniem danych osobowych i w sprawie swobodnego przepływu takich danych oraz uchylenia dyrektywy 95/46/WE, zwanego dalej „RODO”,</w:t>
      </w:r>
      <w:r>
        <w:rPr>
          <w:rFonts w:cs="Palatino Linotype" w:ascii="Palatino Linotype" w:hAnsi="Palatino Linotype"/>
          <w:sz w:val="20"/>
          <w:szCs w:val="20"/>
        </w:rPr>
        <w:t xml:space="preserve"> informujemy, że będziemy przetwarzać Pani/Pana dane osobowe. Szczegóły tego dotyczące:</w:t>
      </w:r>
    </w:p>
    <w:p>
      <w:pPr>
        <w:pStyle w:val="ListParagraph"/>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I.</w:t>
        <w:tab/>
        <w:t>Administrator danych osobowych</w:t>
      </w:r>
    </w:p>
    <w:p>
      <w:pPr>
        <w:pStyle w:val="ListParagraph"/>
        <w:spacing w:lineRule="atLeast" w:line="100" w:before="0" w:after="0"/>
        <w:ind w:left="568" w:right="0" w:hanging="0"/>
        <w:jc w:val="both"/>
        <w:rPr>
          <w:rFonts w:ascii="Palatino Linotype" w:hAnsi="Palatino Linotype" w:cs="Palatino Linotype"/>
          <w:sz w:val="20"/>
          <w:szCs w:val="20"/>
        </w:rPr>
      </w:pPr>
      <w:r>
        <w:rPr>
          <w:rFonts w:cs="Palatino Linotype" w:ascii="Palatino Linotype" w:hAnsi="Palatino Linotype"/>
          <w:sz w:val="20"/>
          <w:szCs w:val="20"/>
        </w:rPr>
        <w:t>Specjalistyczny Psychiatryczny Zespół Opieki Zdrowotnej z siedzibą w Łodzi, ul. Aleksandrowska 159, 91-229 Łódź, tel. 42 652 96 39, informuje, że jest Administratorem Pani/Pana danych osobowych.</w:t>
      </w:r>
    </w:p>
    <w:p>
      <w:pPr>
        <w:pStyle w:val="ListParagraph"/>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II.</w:t>
        <w:tab/>
        <w:t>Inspektor Ochrony Danych</w:t>
      </w:r>
    </w:p>
    <w:p>
      <w:pPr>
        <w:pStyle w:val="ListParagraph"/>
        <w:spacing w:lineRule="atLeast" w:line="100" w:before="0" w:after="0"/>
        <w:ind w:left="568" w:right="0" w:hanging="0"/>
        <w:jc w:val="both"/>
        <w:rPr>
          <w:rFonts w:ascii="Palatino Linotype" w:hAnsi="Palatino Linotype" w:cs="Palatino Linotype"/>
          <w:sz w:val="20"/>
          <w:szCs w:val="20"/>
        </w:rPr>
      </w:pPr>
      <w:r>
        <w:rPr>
          <w:rFonts w:cs="Palatino Linotype" w:ascii="Palatino Linotype" w:hAnsi="Palatino Linotype"/>
          <w:sz w:val="20"/>
          <w:szCs w:val="20"/>
        </w:rPr>
        <w:t>Inspektorem ochrony danych osobowych w Specjalistycznym Psychiatrycznym Zespole Opieki Zdrowotnej w Łodzi jest Pani Joanna Pacholak adres e-mail: inspektorochronydanych@babinski.home.pl</w:t>
      </w:r>
    </w:p>
    <w:p>
      <w:pPr>
        <w:pStyle w:val="ListParagraph"/>
        <w:keepNext w:val="true"/>
        <w:spacing w:lineRule="atLeast" w:line="100" w:before="200" w:after="200"/>
        <w:ind w:left="567" w:right="0" w:hanging="578"/>
        <w:jc w:val="both"/>
        <w:rPr>
          <w:rFonts w:ascii="Palatino Linotype" w:hAnsi="Palatino Linotype" w:cs="Palatino Linotype"/>
          <w:b/>
          <w:b/>
          <w:sz w:val="20"/>
          <w:szCs w:val="20"/>
        </w:rPr>
      </w:pPr>
      <w:r>
        <w:rPr>
          <w:rFonts w:cs="Palatino Linotype" w:ascii="Palatino Linotype" w:hAnsi="Palatino Linotype"/>
          <w:b/>
          <w:sz w:val="20"/>
          <w:szCs w:val="20"/>
        </w:rPr>
        <w:t>III.</w:t>
        <w:tab/>
        <w:t>Cele i podstawy przetwarzania</w:t>
      </w:r>
    </w:p>
    <w:p>
      <w:pPr>
        <w:pStyle w:val="ListParagraph"/>
        <w:keepNext w:val="true"/>
        <w:spacing w:lineRule="atLeast" w:line="100" w:before="0" w:after="0"/>
        <w:ind w:left="568" w:right="0" w:hanging="0"/>
        <w:jc w:val="both"/>
        <w:rPr/>
      </w:pPr>
      <w:r>
        <w:rPr>
          <w:rFonts w:cs="Palatino Linotype" w:ascii="Palatino Linotype" w:hAnsi="Palatino Linotype"/>
          <w:sz w:val="20"/>
          <w:szCs w:val="20"/>
        </w:rPr>
        <w:t xml:space="preserve">Przetwarzanie Pani/Pana danych osobowych ma na </w:t>
      </w:r>
      <w:bookmarkStart w:id="0" w:name="_Hlk513749198"/>
      <w:r>
        <w:rPr>
          <w:rFonts w:cs="Palatino Linotype" w:ascii="Palatino Linotype" w:hAnsi="Palatino Linotype"/>
          <w:sz w:val="20"/>
          <w:szCs w:val="20"/>
        </w:rPr>
        <w:t>celu:</w:t>
      </w:r>
    </w:p>
    <w:p>
      <w:pPr>
        <w:pStyle w:val="ListParagraph"/>
        <w:numPr>
          <w:ilvl w:val="0"/>
          <w:numId w:val="1"/>
        </w:numPr>
        <w:shd w:val="clear" w:fill="FFFFFF"/>
        <w:spacing w:lineRule="atLeast" w:line="100" w:before="0" w:after="0"/>
        <w:ind w:left="928" w:right="0" w:hanging="360"/>
        <w:jc w:val="both"/>
        <w:rPr/>
      </w:pPr>
      <w:r>
        <w:rPr>
          <w:rFonts w:cs="Palatino Linotype" w:ascii="Palatino Linotype" w:hAnsi="Palatino Linotype"/>
          <w:sz w:val="20"/>
          <w:szCs w:val="20"/>
        </w:rPr>
        <w:t>przeprowadzenie i rozstrzygnięcie postępowania o udzielenie zamówienia publicznego, którego przedmiotem jest:</w:t>
      </w:r>
      <w:r>
        <w:rPr>
          <w:rFonts w:cs="Palatino Linotype" w:ascii="Palatino Linotype" w:hAnsi="Palatino Linotype"/>
          <w:sz w:val="20"/>
          <w:szCs w:val="20"/>
          <w:shd w:fill="FFFFFF" w:val="clear"/>
        </w:rPr>
        <w:t xml:space="preserve"> </w:t>
      </w:r>
      <w:r>
        <w:rPr>
          <w:rFonts w:eastAsia="Lato-Bold" w:cs="Palatino Linotype" w:ascii="Palatino Linotype" w:hAnsi="Palatino Linotype"/>
          <w:color w:val="000000"/>
          <w:sz w:val="20"/>
          <w:szCs w:val="20"/>
          <w:shd w:fill="FFFFFF" w:val="clear"/>
        </w:rPr>
        <w:t xml:space="preserve">wybór ekspertów do opracowania 2 specjalistycznych programów diagnozy i leczenia zaburzeń psychicznych dla dzieci i młodzieży oraz przeprowadzenia (na zasadach prawa opcji zgodnie z ustawą Prawo zamówień publicznych) szkoleń w zakresie specjalistycznych programów diagnozy i leczenia zaburzeń psychicznych dla dzieci i młodzieży w ramach projektu „Opracowanie i realizacja specjalistycznych programów diagnozy i leczenia zaburzeń psychicznych”, współfinansowanego przez Unię Europejską ze środków Europejskiego Funduszu Społecznego Plus w ramach Programu Fundusze Europejskie dla Rozwoju Społecznego 2021-2027, Działanie FERS.04.15 Skuteczny i odporny system ochrony zdrowia, </w:t>
      </w:r>
      <w:r>
        <w:rPr>
          <w:rFonts w:cs="Palatino Linotype" w:ascii="Palatino Linotype" w:hAnsi="Palatino Linotype"/>
          <w:sz w:val="20"/>
          <w:szCs w:val="20"/>
          <w:shd w:fill="FFFFFF" w:val="clear"/>
        </w:rPr>
        <w:t xml:space="preserve">nr ref. SPZOZ/FERS 04.15/2/2025, </w:t>
      </w:r>
      <w:r>
        <w:rPr>
          <w:rFonts w:cs="Palatino Linotype" w:ascii="Palatino Linotype" w:hAnsi="Palatino Linotype"/>
          <w:sz w:val="20"/>
          <w:szCs w:val="20"/>
        </w:rPr>
        <w:t>zwana dalej „zamówieniem publicznym” – podstawa z art. 6 ust. 1 lit. c RODO,</w:t>
      </w:r>
    </w:p>
    <w:p>
      <w:pPr>
        <w:pStyle w:val="ListParagraph"/>
        <w:numPr>
          <w:ilvl w:val="0"/>
          <w:numId w:val="1"/>
        </w:numPr>
        <w:spacing w:lineRule="atLeast" w:line="100" w:before="0" w:after="0"/>
        <w:ind w:left="928" w:right="0" w:hanging="360"/>
        <w:jc w:val="both"/>
        <w:rPr>
          <w:rFonts w:ascii="Palatino Linotype" w:hAnsi="Palatino Linotype" w:cs="Palatino Linotype"/>
          <w:sz w:val="20"/>
          <w:szCs w:val="20"/>
        </w:rPr>
      </w:pPr>
      <w:r>
        <w:rPr>
          <w:rFonts w:cs="Palatino Linotype" w:ascii="Palatino Linotype" w:hAnsi="Palatino Linotype"/>
          <w:sz w:val="20"/>
          <w:szCs w:val="20"/>
        </w:rPr>
        <w:t>zawarcie z wybranym wykonawcą umowy w sprawie zamówienia publicznego i wykonanie tej umowy – podstawa z art. 6 ust. 1 lit. b RODO,</w:t>
      </w:r>
    </w:p>
    <w:p>
      <w:pPr>
        <w:pStyle w:val="ListParagraph"/>
        <w:numPr>
          <w:ilvl w:val="0"/>
          <w:numId w:val="1"/>
        </w:numPr>
        <w:spacing w:lineRule="atLeast" w:line="100" w:before="0" w:after="0"/>
        <w:ind w:left="928" w:right="0" w:hanging="360"/>
        <w:jc w:val="both"/>
        <w:rPr/>
      </w:pPr>
      <w:r>
        <w:rPr>
          <w:rFonts w:cs="Palatino Linotype" w:ascii="Palatino Linotype" w:hAnsi="Palatino Linotype"/>
          <w:sz w:val="20"/>
          <w:szCs w:val="20"/>
        </w:rPr>
        <w:t>opracowanie specjalistycznego programu diagnozy zaburzeń psychicznych, realizację szkolenia dla personelu zaangażowanego w wdrażanie programów</w:t>
      </w:r>
      <w:r>
        <w:rPr>
          <w:rFonts w:cs="Palatino Linotype" w:ascii="Palatino Linotype" w:hAnsi="Palatino Linotype"/>
          <w:b/>
          <w:sz w:val="20"/>
          <w:szCs w:val="20"/>
        </w:rPr>
        <w:t xml:space="preserve"> – </w:t>
      </w:r>
      <w:r>
        <w:rPr>
          <w:rFonts w:cs="Palatino Linotype" w:ascii="Palatino Linotype" w:hAnsi="Palatino Linotype"/>
          <w:sz w:val="20"/>
          <w:szCs w:val="20"/>
        </w:rPr>
        <w:t>podstawa z art. 6 ust. 1 lit. c RODO,</w:t>
      </w:r>
    </w:p>
    <w:p>
      <w:pPr>
        <w:pStyle w:val="ListParagraph"/>
        <w:numPr>
          <w:ilvl w:val="0"/>
          <w:numId w:val="1"/>
        </w:numPr>
        <w:spacing w:lineRule="atLeast" w:line="100" w:before="0" w:after="0"/>
        <w:ind w:left="928" w:right="0" w:hanging="360"/>
        <w:jc w:val="both"/>
        <w:rPr/>
      </w:pPr>
      <w:r>
        <w:rPr>
          <w:rFonts w:cs="Palatino Linotype" w:ascii="Palatino Linotype" w:hAnsi="Palatino Linotype"/>
          <w:sz w:val="20"/>
          <w:szCs w:val="20"/>
        </w:rPr>
        <w:t>realizację, rozliczenie i ewaluację projektu pn.:</w:t>
      </w:r>
      <w:r>
        <w:rPr>
          <w:rFonts w:cs="Palatino Linotype" w:ascii="Palatino Linotype" w:hAnsi="Palatino Linotype"/>
          <w:b/>
          <w:sz w:val="20"/>
          <w:szCs w:val="20"/>
        </w:rPr>
        <w:t xml:space="preserve"> </w:t>
      </w:r>
      <w:r>
        <w:rPr>
          <w:rFonts w:cs="Palatino Linotype" w:ascii="Palatino Linotype" w:hAnsi="Palatino Linotype"/>
          <w:sz w:val="20"/>
          <w:szCs w:val="20"/>
        </w:rPr>
        <w:t>„</w:t>
      </w:r>
      <w:r>
        <w:rPr>
          <w:rFonts w:eastAsia="Lato-Bold" w:cs="Palatino Linotype" w:ascii="Palatino Linotype" w:hAnsi="Palatino Linotype"/>
          <w:color w:val="000000"/>
          <w:sz w:val="20"/>
          <w:szCs w:val="20"/>
          <w:shd w:fill="FFFFFF" w:val="clear"/>
        </w:rPr>
        <w:t>Opracowanie i realizacja specjalistycznych programów diagnozy i leczenia zaburzeń psychicznych”, współfinansowanego przez Unię Europejską ze środków Europejskiego Funduszu Społecznego Plus w ramach Programu Fundusze Europejskie dla Rozwoju Społecznego 2021-2027, Działanie FERS.04.15 Skuteczny i odporny system ochrony zdrowia</w:t>
      </w:r>
      <w:r>
        <w:rPr>
          <w:rFonts w:cs="Palatino Linotype" w:ascii="Palatino Linotype" w:hAnsi="Palatino Linotype"/>
          <w:sz w:val="20"/>
          <w:szCs w:val="20"/>
        </w:rPr>
        <w:t xml:space="preserve"> – podstawa z art. 6 ust. 1 lit. c RODO.</w:t>
      </w:r>
    </w:p>
    <w:p>
      <w:pPr>
        <w:pStyle w:val="Normal"/>
        <w:numPr>
          <w:ilvl w:val="0"/>
          <w:numId w:val="2"/>
        </w:numPr>
        <w:tabs>
          <w:tab w:val="clear" w:pos="708"/>
          <w:tab w:val="left" w:pos="223" w:leader="none"/>
        </w:tabs>
        <w:suppressAutoHyphens w:val="false"/>
        <w:ind w:left="193" w:right="0" w:hanging="193"/>
        <w:rPr>
          <w:rFonts w:ascii="Palatino Linotype" w:hAnsi="Palatino Linotype" w:cs="Palatino Linotype"/>
          <w:b/>
          <w:b/>
          <w:bCs/>
          <w:sz w:val="20"/>
          <w:szCs w:val="20"/>
          <w:lang w:eastAsia="pl-PL"/>
        </w:rPr>
      </w:pPr>
      <w:bookmarkEnd w:id="0"/>
      <w:r>
        <w:rPr>
          <w:rFonts w:cs="Palatino Linotype" w:ascii="Palatino Linotype" w:hAnsi="Palatino Linotype"/>
          <w:b/>
          <w:bCs/>
          <w:sz w:val="20"/>
          <w:szCs w:val="20"/>
          <w:lang w:eastAsia="pl-PL"/>
        </w:rPr>
        <w:t>Odbiorcy danych</w:t>
      </w:r>
    </w:p>
    <w:p>
      <w:pPr>
        <w:pStyle w:val="Normal"/>
        <w:suppressAutoHyphens w:val="false"/>
        <w:ind w:left="594" w:right="0" w:hanging="45"/>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Pani/Pana dane osobowe – jako uczestnika postępowania o udzielenie zamówienia publicznego – będą udostępniane wyłącznie podmiotom uprawnionym do otrzymania Pani/Pana danych na podstawie obowiązujących przepisów prawa, a w szczególności: </w:t>
      </w:r>
    </w:p>
    <w:p>
      <w:pPr>
        <w:pStyle w:val="Normal"/>
        <w:tabs>
          <w:tab w:val="clear" w:pos="708"/>
          <w:tab w:val="left" w:pos="832" w:leader="none"/>
          <w:tab w:val="left" w:pos="906" w:leader="none"/>
        </w:tabs>
        <w:suppressAutoHyphens w:val="false"/>
        <w:ind w:left="995" w:right="0" w:hanging="416"/>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a) </w:t>
        <w:tab/>
        <w:tab/>
        <w:tab/>
        <w:t>uczestnikom postępowania o udzielenie zamówienia publicznego – dane wykonawcy zgodnie z ustawą Prawo zamówień publicznych,</w:t>
      </w:r>
    </w:p>
    <w:p>
      <w:pPr>
        <w:pStyle w:val="Normal"/>
        <w:suppressAutoHyphens w:val="false"/>
        <w:ind w:left="950" w:right="0" w:hanging="371"/>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na stronie internetowej Administratora – dane wykonawcy zgodnie z ustawą Prawo zamówień publicznych,</w:t>
      </w:r>
    </w:p>
    <w:p>
      <w:pPr>
        <w:pStyle w:val="Normal"/>
        <w:suppressAutoHyphens w:val="false"/>
        <w:ind w:left="950" w:right="0" w:hanging="34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    osobom uczestniczącym w procesie realizacji projektu,</w:t>
      </w:r>
    </w:p>
    <w:p>
      <w:pPr>
        <w:pStyle w:val="Normal"/>
        <w:suppressAutoHyphens w:val="false"/>
        <w:ind w:left="950" w:right="0" w:hanging="34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d)   Instytucji Pośredniczącej (minister właściwy do spraw zdrowia), z siedzibą w Warszawie (00-952) przy ul. Miodowej 15, w szczególności w ramach centralnego systemu teleinformatycznego wykorzystywanego w procesie rozliczania Projektu oraz komunikowania z Instytucją Pośredniczącą, którego administratorem jest Instytucja Zarządzająca (minister właściwy do spraw rozwoju regionalnego), z siedzibą w Warszawie (00-926) przy ul. Wspólnej 2/4.</w:t>
      </w:r>
    </w:p>
    <w:p>
      <w:pPr>
        <w:pStyle w:val="Normal"/>
        <w:suppressAutoHyphens w:val="false"/>
        <w:ind w:left="624"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 przypadku zawarcia z Panią/Panem umowy w sprawie zamówienia publicznego –będą udostępnione:</w:t>
      </w:r>
    </w:p>
    <w:p>
      <w:pPr>
        <w:pStyle w:val="Normal"/>
        <w:suppressAutoHyphens w:val="false"/>
        <w:ind w:left="980" w:right="0" w:hanging="356"/>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a) podmiotom uprawnionym do otrzymania Pani/Pana danych na podstawie obowiązujących przepisów prawa – w tym dane osobowe zawarte w ogłoszeniu o udzieleniu zamówienia – dane wykonawcy zgodnie z ustawą Prawo zamówień publicznych,</w:t>
      </w:r>
    </w:p>
    <w:p>
      <w:pPr>
        <w:pStyle w:val="Normal"/>
        <w:suppressAutoHyphens w:val="false"/>
        <w:ind w:left="921" w:right="0" w:hanging="31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innym osobom zaangażowanym w opracowywanie programów specjalistycznych, osobom zaangażowanym w wdrażanie programów specjalistycznych, osobom uczestniczącym w szkoleniu – w przypadku gdy wykonawca osobiście realizuje usługi objęte przedmiotem zamówienia.</w:t>
      </w:r>
    </w:p>
    <w:p>
      <w:pPr>
        <w:pStyle w:val="Normal"/>
        <w:suppressAutoHyphens w:val="false"/>
        <w:ind w:left="624"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Ponadto Pani/Pana dane osobowe zostaną także udostępnione:</w:t>
      </w:r>
    </w:p>
    <w:p>
      <w:pPr>
        <w:pStyle w:val="Normal"/>
        <w:suppressAutoHyphens w:val="false"/>
        <w:ind w:left="995" w:right="0" w:hanging="34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a)   podmiotom uprawnionym do otrzymania Pani/Pana danych na podstawie obowiązujących przepisów prawa – w tym dane osobowe zawarte w dokumentacji postępowania o udzielenie zamówienia publicznego zgodnie z ustawą Prawo zamówień publicznych oraz dane osobowe zawarte w umowie w sprawie zamówienia publicznego zgodnie z przepisami o dostępie do informacji publicznej,</w:t>
      </w:r>
    </w:p>
    <w:p>
      <w:pPr>
        <w:pStyle w:val="Normal"/>
        <w:suppressAutoHyphens w:val="false"/>
        <w:ind w:left="980" w:right="0" w:hanging="29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podmiotom przetwarzającym, które świadczą nam usługi prawnicze,</w:t>
      </w:r>
    </w:p>
    <w:p>
      <w:pPr>
        <w:pStyle w:val="Normal"/>
        <w:suppressAutoHyphens w:val="false"/>
        <w:ind w:left="980" w:right="0" w:hanging="29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c)podmiotom wykonującym zadania związane z realizacją Projektu, w szczególności podmiotom realizującym na zlecenie Instytucji Zarządzającej, Instytucji Pośredniczącej lub Administratora badania ewaluacyjne, kontrole i audyt w ramach FERS,</w:t>
      </w:r>
    </w:p>
    <w:p>
      <w:pPr>
        <w:pStyle w:val="Normal"/>
        <w:suppressAutoHyphens w:val="false"/>
        <w:ind w:left="995" w:right="0" w:hanging="29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 podmiotom przetwarzającym, które wspierają nas systemami teleinformatycznymi oraz dostarczają nam i obsługują nasze systemy informatyczne lub oprogramowanie wykorzystywane do właściwej realizacji świadczonej usługi.</w:t>
      </w:r>
    </w:p>
    <w:p>
      <w:pPr>
        <w:pStyle w:val="Normal"/>
        <w:numPr>
          <w:ilvl w:val="0"/>
          <w:numId w:val="2"/>
        </w:numPr>
        <w:suppressAutoHyphens w:val="false"/>
        <w:jc w:val="both"/>
        <w:rPr>
          <w:rFonts w:ascii="Palatino Linotype" w:hAnsi="Palatino Linotype" w:cs="Palatino Linotype"/>
          <w:b/>
          <w:b/>
          <w:bCs/>
          <w:sz w:val="20"/>
          <w:szCs w:val="20"/>
          <w:lang w:eastAsia="pl-PL"/>
        </w:rPr>
      </w:pPr>
      <w:r>
        <w:rPr>
          <w:rFonts w:cs="Palatino Linotype" w:ascii="Palatino Linotype" w:hAnsi="Palatino Linotype"/>
          <w:b/>
          <w:bCs/>
          <w:sz w:val="20"/>
          <w:szCs w:val="20"/>
          <w:lang w:eastAsia="pl-PL"/>
        </w:rPr>
        <w:t>Przekazywanie danych do państw trzecich lub organizacji międzynarodowych</w:t>
      </w:r>
    </w:p>
    <w:p>
      <w:pPr>
        <w:pStyle w:val="Normal"/>
        <w:suppressAutoHyphens w:val="false"/>
        <w:ind w:left="728" w:right="0" w:firstLine="15"/>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Nie przekazujemy Pani/Pana danych poza teren Europejskiego Obszaru Gospodarczego. </w:t>
      </w:r>
    </w:p>
    <w:p>
      <w:pPr>
        <w:pStyle w:val="Normal"/>
        <w:suppressAutoHyphens w:val="false"/>
        <w:ind w:left="728" w:right="0" w:firstLine="15"/>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Jednakże w przypadku gdy wykonawca osobiście prowadzi zajęcia dydaktyczne w formie online, dane utrwalone na nagraniu dla prawidłowej funkcjonalności usługi mogą zostać przekazane do podmiotu poza teren Europejskiego Obszaru Gospodarczego, świadczącego dla Administratora taką usługę. Przekazanie danych poza terytorium Europejskiego Obszaru Gospodarczego odbędzie się w oparciu o standardowe klauzule ochrony przyjęte przez Komisję Europejską.</w:t>
      </w:r>
    </w:p>
    <w:p>
      <w:pPr>
        <w:pStyle w:val="Normal"/>
        <w:numPr>
          <w:ilvl w:val="0"/>
          <w:numId w:val="3"/>
        </w:numPr>
        <w:suppressAutoHyphens w:val="false"/>
        <w:rPr>
          <w:rFonts w:ascii="Palatino Linotype" w:hAnsi="Palatino Linotype" w:cs="Palatino Linotype"/>
          <w:b/>
          <w:b/>
          <w:bCs/>
          <w:sz w:val="20"/>
          <w:szCs w:val="20"/>
          <w:lang w:eastAsia="pl-PL"/>
        </w:rPr>
      </w:pPr>
      <w:r>
        <w:rPr>
          <w:rFonts w:cs="Palatino Linotype" w:ascii="Palatino Linotype" w:hAnsi="Palatino Linotype"/>
          <w:b/>
          <w:bCs/>
          <w:sz w:val="20"/>
          <w:szCs w:val="20"/>
          <w:lang w:eastAsia="pl-PL"/>
        </w:rPr>
        <w:t>Okres przechowywania danych</w:t>
      </w:r>
    </w:p>
    <w:p>
      <w:pPr>
        <w:pStyle w:val="Normal"/>
        <w:suppressAutoHyphens w:val="false"/>
        <w:ind w:left="75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Pani/Pana dane osobowe – wskazane w dokumentacji postępowania o udzielenie zamówienia publicznego – będą przechowywane przez okres 4 lat od dnia zakończenia postępowania o udzielenie zamówienia publicznego, zgodnie zobowiązującymi przepisami ustawy Prawo zamówień publicznych. </w:t>
      </w:r>
    </w:p>
    <w:p>
      <w:pPr>
        <w:pStyle w:val="Normal"/>
        <w:suppressAutoHyphens w:val="false"/>
        <w:ind w:left="75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wskazane w treści umowy w sprawie zamówienia publicznego – będą przechowywane:</w:t>
      </w:r>
    </w:p>
    <w:p>
      <w:pPr>
        <w:pStyle w:val="Normal"/>
        <w:suppressAutoHyphens w:val="false"/>
        <w:ind w:left="980" w:right="0" w:hanging="193"/>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a) przez okres 5 lat od początku roku następującego po roku obrotowym, w którym zakończono wykonanie umowy, zgodnie zobowiązującymi przepisami o rachunkowości, albo </w:t>
      </w:r>
    </w:p>
    <w:p>
      <w:pPr>
        <w:pStyle w:val="Normal"/>
        <w:suppressAutoHyphens w:val="false"/>
        <w:ind w:left="1040" w:right="0" w:hanging="238"/>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b) przez okres 10 lat od końca roku kalendarzowego, w którym zakończono wykonanie umowy, jeżeli umowa podlega przepisom o ubezpieczeniach społecznych lub podlega przepisom o emeryturach i rentach. </w:t>
      </w:r>
    </w:p>
    <w:p>
      <w:pPr>
        <w:pStyle w:val="Normal"/>
        <w:suppressAutoHyphens w:val="false"/>
        <w:ind w:left="75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wizerunek i głos utrwalony na nagraniu szkolenia w przypadku gdy wykonawca osobiście prowadzi szkolenia – będą przechowywane przez okres 5 lat od dnia zakończenia realizacji projektu. Bez względu na powyższe postanowienia, Pani/Pana dane osobowe będą przechowywane nie krócej niż przez okres dwóch lat od dnia 31 grudnia roku następującego po złożeniu do Komisji Europejskiej zestawienia wydatków, w którym ujęto ostateczne wydatki dotyczące zakończonego Projektu.</w:t>
      </w:r>
    </w:p>
    <w:p>
      <w:pPr>
        <w:pStyle w:val="Normal"/>
        <w:suppressAutoHyphens w:val="false"/>
        <w:ind w:left="75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wskazane w umowie w sprawie zamówienia publicznego oraz w dokumentacji związanej z realizacją tej umowy – będą przechowywane przez okres 25 lat czyli czas niezbędny do realizacji zadań wynikających z celów wskazanych w pkt III lit. c, a następnie, jeśli chodzi o materiały archiwalne, zgodnie z przepisami wewnętrznymi obowiązującymi w SPZOZ w Łodzi.</w:t>
      </w:r>
    </w:p>
    <w:p>
      <w:pPr>
        <w:pStyle w:val="Normal"/>
        <w:numPr>
          <w:ilvl w:val="0"/>
          <w:numId w:val="3"/>
        </w:numPr>
        <w:suppressAutoHyphens w:val="false"/>
        <w:ind w:left="0" w:right="0" w:firstLine="163"/>
        <w:jc w:val="both"/>
        <w:rPr>
          <w:rFonts w:ascii="Palatino Linotype" w:hAnsi="Palatino Linotype" w:cs="Palatino Linotype"/>
          <w:b/>
          <w:b/>
          <w:bCs/>
          <w:sz w:val="20"/>
          <w:szCs w:val="20"/>
          <w:lang w:eastAsia="pl-PL"/>
        </w:rPr>
      </w:pPr>
      <w:r>
        <w:rPr>
          <w:rFonts w:cs="Palatino Linotype" w:ascii="Palatino Linotype" w:hAnsi="Palatino Linotype"/>
          <w:b/>
          <w:bCs/>
          <w:sz w:val="20"/>
          <w:szCs w:val="20"/>
          <w:lang w:eastAsia="pl-PL"/>
        </w:rPr>
        <w:t>Pani/Pana prawa</w:t>
      </w:r>
    </w:p>
    <w:p>
      <w:pPr>
        <w:pStyle w:val="Normal"/>
        <w:suppressAutoHyphens w:val="false"/>
        <w:ind w:left="0" w:right="0" w:firstLine="77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Przysługuje Pani/Panu:</w:t>
      </w:r>
    </w:p>
    <w:p>
      <w:pPr>
        <w:pStyle w:val="Normal"/>
        <w:suppressAutoHyphens w:val="false"/>
        <w:ind w:left="817" w:right="0" w:hanging="59"/>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a) prawo dostępu do Pani/Pana danych osobowych – uzyskania od Administratora potwierdzenia, czy przetwarzane są Pani/Pana dane osobowe, a jeżeli ma to miejsce, uzyskanie dostępu do nich oraz przekazania Pani/Panu informacji w zakresie wskazanym wart. 15 RODO,</w:t>
      </w:r>
    </w:p>
    <w:p>
      <w:pPr>
        <w:pStyle w:val="Normal"/>
        <w:suppressAutoHyphens w:val="false"/>
        <w:ind w:left="817" w:right="0" w:hanging="59"/>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prawo do sprostowania Pani/Pana danych osobowych – żądania od Administratora niezwłocznego sprostowania danych osobowych, które są nieprawidłowe oraz uzupełnienia niekompletnych danych osobowych zgodnie z art. 16 RODO, przy czym Pani/Pana żądanie nie może skutkować zmianą wyniku postępowania o udzielenie zamówienia publicznego ani zmianą umowy w zakresie niezgodnym z ustawą Prawo zamówień publicznych,</w:t>
      </w:r>
    </w:p>
    <w:p>
      <w:pPr>
        <w:pStyle w:val="Normal"/>
        <w:suppressAutoHyphens w:val="false"/>
        <w:spacing w:lineRule="atLeast" w:line="200"/>
        <w:ind w:left="817" w:right="0" w:hanging="59"/>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 prawo do usunięcia Pani/Pana danych osobowych – żądania od Administratora niezwłocznego usunięcia danych osobowych, jeżeli spełniona zostanie jedna z przesłanek określonych w art. 17 RODO, m.in. dane osobowe nie są już niezbędne do celów, w których zostały zebrane, przy czym prawo usunięcia danych może zostać ograniczone ze względu na obowiązki Administratora wynikające z obowiązującego prawa,</w:t>
      </w:r>
    </w:p>
    <w:p>
      <w:pPr>
        <w:pStyle w:val="ListParagraph"/>
        <w:keepNext w:val="true"/>
        <w:numPr>
          <w:ilvl w:val="0"/>
          <w:numId w:val="4"/>
        </w:numPr>
        <w:tabs>
          <w:tab w:val="clear" w:pos="708"/>
          <w:tab w:val="left" w:pos="1134" w:leader="none"/>
        </w:tabs>
        <w:spacing w:lineRule="atLeast" w:line="200" w:before="0" w:after="0"/>
        <w:ind w:left="81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prawo do ograniczenia przetwarzania Pani/Pana danych osobowych w przypadkach wskazanych w art. 18 RODO, m. in. kwestionowania prawidłowości danych osobowych, przy czym Pani/Pana żądanie nie będzie ograniczać przetwarzania Pani/Pana danych do czasu zakończenia postępowania o udzielenie zamówienia publicznego,</w:t>
      </w:r>
    </w:p>
    <w:p>
      <w:pPr>
        <w:pStyle w:val="ListParagraph"/>
        <w:spacing w:lineRule="atLeast" w:line="200" w:before="0" w:after="0"/>
        <w:ind w:left="81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e) prawo do przenoszenia Pani/Pana danych osobowych (dotyczy wyłącznie osoby, z którą zostanie zawarta umowa w sprawie zamówienia publicznego) – otrzymania zgodnie z art.20 RODO od Administratora Pani/Pana danych osobowych w ustrukturyzowanym, powszechnie używanym formacie nadającym się do odczytu maszynowego; może Pani/Pan przesłać te dane innemu administratorowi danych lub żądać by dane osobowe zostały przesłane przez Administratora bezpośrednio innemu administratorowi, o ile jest to technicznie możliwe,</w:t>
      </w:r>
    </w:p>
    <w:p>
      <w:pPr>
        <w:pStyle w:val="ListParagraph"/>
        <w:spacing w:lineRule="atLeast" w:line="200" w:before="0" w:after="0"/>
        <w:ind w:left="847"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f)prawo do wniesienia skargi do Prezesa Urzędu Ochrony Danych Osobowych lub innego właściwego organu nadzorczego zajmującego się ochroną danych osobowych zgodnie z art.77 RODO,</w:t>
      </w:r>
    </w:p>
    <w:p>
      <w:pPr>
        <w:pStyle w:val="ListParagraph"/>
        <w:spacing w:lineRule="atLeast" w:line="200" w:before="0" w:after="0"/>
        <w:ind w:left="861" w:right="0" w:hanging="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g) prawo do cofnięcia zgody na przetwarzanie danych osobowych zgodnie z art. 7 ust. 3 RODO (w zakresie wizerunku wykonawcy, w przypadku gdy wykonawca osobiście prowadzi zajęcia dydaktyczne w formie online).W celu skorzystania z ww. praw należy skierować żądanie do Administratora Danych Osobowych lub Inspektora Ochrony Danych – dane kontaktowe wskazano w pkt I lub II niniejszej informacji. Proszę pamiętać, że przed realizacją Pani/Pana uprawnień Administrator będzie musiał upewnić się, że Pani/Pan ma powyższe prawo, czyli odpowiednio Panią/Pana zidentyfikować oraz żądać dodatkowych informacji precyzujących Pani/Pana żądania, w szczególności podania nazwy lub daty postępowania o udzielenie zamówienia publicznego.</w:t>
      </w:r>
    </w:p>
    <w:p>
      <w:pPr>
        <w:pStyle w:val="ListParagraph"/>
        <w:spacing w:lineRule="atLeast" w:line="200" w:before="0" w:after="0"/>
        <w:ind w:left="567" w:right="0" w:firstLine="178"/>
        <w:jc w:val="both"/>
        <w:rPr>
          <w:rFonts w:ascii="Palatino Linotype" w:hAnsi="Palatino Linotype" w:cs="Palatino Linotype"/>
          <w:b/>
          <w:b/>
          <w:bCs/>
          <w:sz w:val="20"/>
          <w:szCs w:val="20"/>
          <w:lang w:eastAsia="pl-PL"/>
        </w:rPr>
      </w:pPr>
      <w:r>
        <w:rPr>
          <w:rFonts w:cs="Palatino Linotype" w:ascii="Palatino Linotype" w:hAnsi="Palatino Linotype"/>
          <w:b/>
          <w:bCs/>
          <w:sz w:val="20"/>
          <w:szCs w:val="20"/>
          <w:lang w:eastAsia="pl-PL"/>
        </w:rPr>
        <w:t>VIII. Obowiązek podania danych</w:t>
      </w:r>
    </w:p>
    <w:p>
      <w:pPr>
        <w:pStyle w:val="ListParagraph"/>
        <w:spacing w:lineRule="atLeast" w:line="200" w:before="0" w:after="0"/>
        <w:ind w:left="832" w:right="0" w:firstLine="3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Podanie przez Panią/Pana danych osobowych jest wymagane ustawą Prawo zamówień publicznych w celu przeprowadzenia i rozstrzygnięcia postępowania o udzielenie zamówienia publicznego oraz w celu zawarcia umowy i wykonania jej postanowień. Konsekwencją niepodania danych osobowych wymaganych ustawą Prawo zamówień publicznych jest brak możliwości uczestniczenia w postępowaniu o udzielenie zamówienia publicznego. Wyrażenie zgody na nagranie i rozpowszechnianie wizerunku jest dobrowolne (w przypadku gdy wykonawca osobiście prowadzi zajęcia dydaktyczne).</w:t>
      </w:r>
    </w:p>
    <w:p>
      <w:pPr>
        <w:pStyle w:val="ListParagraph"/>
        <w:spacing w:lineRule="atLeast" w:line="200" w:before="0" w:after="0"/>
        <w:ind w:left="567" w:right="0" w:firstLine="178"/>
        <w:jc w:val="both"/>
        <w:rPr>
          <w:rFonts w:ascii="Palatino Linotype" w:hAnsi="Palatino Linotype" w:cs="Palatino Linotype"/>
          <w:b/>
          <w:b/>
          <w:bCs/>
          <w:sz w:val="20"/>
          <w:szCs w:val="20"/>
          <w:lang w:eastAsia="pl-PL"/>
        </w:rPr>
      </w:pPr>
      <w:r>
        <w:rPr>
          <w:rFonts w:cs="Palatino Linotype" w:ascii="Palatino Linotype" w:hAnsi="Palatino Linotype"/>
          <w:b/>
          <w:bCs/>
          <w:sz w:val="20"/>
          <w:szCs w:val="20"/>
          <w:lang w:eastAsia="pl-PL"/>
        </w:rPr>
        <w:t xml:space="preserve">IX. Informacje o zautomatyzowanym podejmowaniu decyzji, w tym profilowaniu </w:t>
      </w:r>
    </w:p>
    <w:p>
      <w:pPr>
        <w:pStyle w:val="ListParagraph"/>
        <w:spacing w:lineRule="atLeast" w:line="200" w:before="0" w:after="0"/>
        <w:ind w:left="567" w:right="0" w:firstLine="178"/>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nie będą podlegały zautomatyzowanemu podejmowaniu decyzji, w tym profilowaniu.</w:t>
      </w:r>
    </w:p>
    <w:sectPr>
      <w:headerReference w:type="even" r:id="rId3"/>
      <w:headerReference w:type="default" r:id="rId4"/>
      <w:footerReference w:type="even" r:id="rId5"/>
      <w:footerReference w:type="default" r:id="rId6"/>
      <w:type w:val="nextPage"/>
      <w:pgSz w:w="11906" w:h="16838"/>
      <w:pgMar w:left="1417" w:right="1417" w:gutter="0" w:header="709" w:top="766" w:footer="709" w:bottom="76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Palatino Linotype">
    <w:charset w:val="ee"/>
    <w:family w:val="roman"/>
    <w:pitch w:val="variable"/>
  </w:font>
  <w:font w:name="Calibri">
    <w:charset w:val="ee"/>
    <w:family w:val="roman"/>
    <w:pitch w:val="variable"/>
  </w:font>
  <w:font w:name="Segoe UI">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ind w:left="0" w:right="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pBdr>
        <w:top w:val="single" w:sz="4" w:space="1" w:color="000000"/>
      </w:pBdr>
      <w:ind w:left="0" w:right="0" w:hanging="0"/>
      <w:jc w:val="center"/>
      <w:rPr/>
    </w:pPr>
    <w:r>
      <w:rPr>
        <w:rFonts w:cs="Palatino Linotype" w:ascii="Palatino Linotype" w:hAnsi="Palatino Linotype"/>
        <w:sz w:val="12"/>
        <w:szCs w:val="12"/>
      </w:rPr>
      <w:t>–</w:t>
    </w:r>
    <w:r>
      <w:rPr>
        <w:rFonts w:eastAsia="Palatino Linotype" w:cs="Palatino Linotype" w:ascii="Palatino Linotype" w:hAnsi="Palatino Linotype"/>
        <w:sz w:val="12"/>
        <w:szCs w:val="12"/>
      </w:rPr>
      <w:t xml:space="preserve"> </w:t>
    </w:r>
    <w:r>
      <w:rPr>
        <w:sz w:val="12"/>
        <w:szCs w:val="12"/>
      </w:rPr>
      <w:fldChar w:fldCharType="begin"/>
    </w:r>
    <w:r>
      <w:rPr>
        <w:sz w:val="12"/>
        <w:szCs w:val="12"/>
      </w:rPr>
      <w:instrText xml:space="preserve"> PAGE </w:instrText>
    </w:r>
    <w:r>
      <w:rPr>
        <w:sz w:val="12"/>
        <w:szCs w:val="12"/>
      </w:rPr>
      <w:fldChar w:fldCharType="separate"/>
    </w:r>
    <w:r>
      <w:rPr>
        <w:sz w:val="12"/>
        <w:szCs w:val="12"/>
      </w:rPr>
      <w:t>3</w:t>
    </w:r>
    <w:r>
      <w:rPr>
        <w:sz w:val="12"/>
        <w:szCs w:val="12"/>
      </w:rPr>
      <w:fldChar w:fldCharType="end"/>
    </w:r>
    <w:r>
      <w:rPr>
        <w:rFonts w:eastAsia="Palatino Linotype" w:cs="Palatino Linotype" w:ascii="Palatino Linotype" w:hAnsi="Palatino Linotype"/>
        <w:sz w:val="12"/>
        <w:szCs w:val="12"/>
      </w:rPr>
      <w:t xml:space="preserve"> </w:t>
    </w:r>
    <w:r>
      <w:rPr>
        <w:rFonts w:cs="Palatino Linotype" w:ascii="Palatino Linotype" w:hAnsi="Palatino Linotype"/>
        <w:sz w:val="12"/>
        <w:szCs w:val="12"/>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ind w:left="0" w:right="0" w:hanging="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ind w:left="0" w:right="0"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928" w:hanging="360"/>
      </w:pPr>
      <w:rPr>
        <w:sz w:val="20"/>
        <w:szCs w:val="20"/>
        <w:rFonts w:ascii="Palatino Linotype" w:hAnsi="Palatino Linotype" w:cs="Times New Roman"/>
      </w:rPr>
    </w:lvl>
    <w:lvl w:ilvl="1">
      <w:start w:val="1"/>
      <w:numFmt w:val="lowerLetter"/>
      <w:lvlText w:val="%2."/>
      <w:lvlJc w:val="left"/>
      <w:pPr>
        <w:tabs>
          <w:tab w:val="num" w:pos="0"/>
        </w:tabs>
        <w:ind w:left="1648" w:hanging="360"/>
      </w:pPr>
      <w:rPr/>
    </w:lvl>
    <w:lvl w:ilvl="2">
      <w:start w:val="1"/>
      <w:numFmt w:val="lowerRoman"/>
      <w:lvlText w:val="%2.%3."/>
      <w:lvlJc w:val="right"/>
      <w:pPr>
        <w:tabs>
          <w:tab w:val="num" w:pos="0"/>
        </w:tabs>
        <w:ind w:left="2368" w:hanging="180"/>
      </w:pPr>
      <w:rPr/>
    </w:lvl>
    <w:lvl w:ilvl="3">
      <w:start w:val="1"/>
      <w:numFmt w:val="decimal"/>
      <w:lvlText w:val="%2.%3.%4."/>
      <w:lvlJc w:val="left"/>
      <w:pPr>
        <w:tabs>
          <w:tab w:val="num" w:pos="0"/>
        </w:tabs>
        <w:ind w:left="3088" w:hanging="360"/>
      </w:pPr>
      <w:rPr/>
    </w:lvl>
    <w:lvl w:ilvl="4">
      <w:start w:val="1"/>
      <w:numFmt w:val="lowerLetter"/>
      <w:lvlText w:val="%2.%3.%4.%5."/>
      <w:lvlJc w:val="left"/>
      <w:pPr>
        <w:tabs>
          <w:tab w:val="num" w:pos="0"/>
        </w:tabs>
        <w:ind w:left="3808" w:hanging="360"/>
      </w:pPr>
      <w:rPr/>
    </w:lvl>
    <w:lvl w:ilvl="5">
      <w:start w:val="1"/>
      <w:numFmt w:val="lowerRoman"/>
      <w:lvlText w:val="%2.%3.%4.%5.%6."/>
      <w:lvlJc w:val="right"/>
      <w:pPr>
        <w:tabs>
          <w:tab w:val="num" w:pos="0"/>
        </w:tabs>
        <w:ind w:left="4528" w:hanging="180"/>
      </w:pPr>
      <w:rPr/>
    </w:lvl>
    <w:lvl w:ilvl="6">
      <w:start w:val="1"/>
      <w:numFmt w:val="decimal"/>
      <w:lvlText w:val="%2.%3.%4.%5.%6.%7."/>
      <w:lvlJc w:val="left"/>
      <w:pPr>
        <w:tabs>
          <w:tab w:val="num" w:pos="0"/>
        </w:tabs>
        <w:ind w:left="5248" w:hanging="360"/>
      </w:pPr>
      <w:rPr/>
    </w:lvl>
    <w:lvl w:ilvl="7">
      <w:start w:val="1"/>
      <w:numFmt w:val="lowerLetter"/>
      <w:lvlText w:val="%2.%3.%4.%5.%6.%7.%8."/>
      <w:lvlJc w:val="left"/>
      <w:pPr>
        <w:tabs>
          <w:tab w:val="num" w:pos="0"/>
        </w:tabs>
        <w:ind w:left="5968" w:hanging="360"/>
      </w:pPr>
      <w:rPr/>
    </w:lvl>
    <w:lvl w:ilvl="8">
      <w:start w:val="1"/>
      <w:numFmt w:val="lowerRoman"/>
      <w:lvlText w:val="%2.%3.%4.%5.%6.%7.%8.%9."/>
      <w:lvlJc w:val="right"/>
      <w:pPr>
        <w:tabs>
          <w:tab w:val="num" w:pos="0"/>
        </w:tabs>
        <w:ind w:left="6688" w:hanging="180"/>
      </w:pPr>
      <w:rPr/>
    </w:lvl>
  </w:abstractNum>
  <w:abstractNum w:abstractNumId="2">
    <w:lvl w:ilvl="0">
      <w:start w:val="4"/>
      <w:numFmt w:val="upperRoman"/>
      <w:lvlText w:val="%1."/>
      <w:lvlJc w:val="left"/>
      <w:pPr>
        <w:tabs>
          <w:tab w:val="num" w:pos="720"/>
        </w:tabs>
        <w:ind w:left="720" w:hanging="360"/>
      </w:pPr>
      <w:rPr>
        <w:sz w:val="20"/>
        <w:b/>
        <w:szCs w:val="20"/>
        <w:bCs/>
        <w:rFonts w:ascii="Palatino Linotype" w:hAnsi="Palatino Linotype"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6"/>
      <w:numFmt w:val="upperRoman"/>
      <w:lvlText w:val="%1."/>
      <w:lvlJc w:val="left"/>
      <w:pPr>
        <w:tabs>
          <w:tab w:val="num" w:pos="720"/>
        </w:tabs>
        <w:ind w:left="720" w:hanging="360"/>
      </w:pPr>
      <w:rPr>
        <w:sz w:val="20"/>
        <w:b/>
        <w:szCs w:val="20"/>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500"/>
      <w:numFmt w:val="lowerRoman"/>
      <w:lvlText w:val="%1)"/>
      <w:lvlJc w:val="left"/>
      <w:pPr>
        <w:tabs>
          <w:tab w:val="num" w:pos="720"/>
        </w:tabs>
        <w:ind w:left="720" w:hanging="360"/>
      </w:pPr>
      <w:rPr>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708"/>
  <w:autoHyphenation w:val="true"/>
  <w:evenAndOddHeaders/>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character" w:styleId="WW8Num1z0">
    <w:name w:val="WW8Num1z0"/>
    <w:qFormat/>
    <w:rPr>
      <w:rFonts w:ascii="Palatino Linotype" w:hAnsi="Palatino Linotype" w:cs="Times New Roman"/>
      <w:sz w:val="20"/>
      <w:szCs w:val="20"/>
    </w:rPr>
  </w:style>
  <w:style w:type="character" w:styleId="WW8Num2z0">
    <w:name w:val="WW8Num2z0"/>
    <w:qFormat/>
    <w:rPr>
      <w:rFonts w:ascii="Palatino Linotype" w:hAnsi="Palatino Linotype" w:cs="Times New Roman"/>
      <w:b/>
      <w:bCs/>
      <w:sz w:val="20"/>
      <w:szCs w:val="20"/>
    </w:rPr>
  </w:style>
  <w:style w:type="character" w:styleId="WW8Num3z0">
    <w:name w:val="WW8Num3z0"/>
    <w:qFormat/>
    <w:rPr>
      <w:rFonts w:ascii="Palatino Linotype" w:hAnsi="Palatino Linotype" w:cs="Palatino Linotype"/>
      <w:b/>
      <w:sz w:val="20"/>
      <w:szCs w:val="20"/>
    </w:rPr>
  </w:style>
  <w:style w:type="character" w:styleId="WW8Num4z0">
    <w:name w:val="WW8Num4z0"/>
    <w:qFormat/>
    <w:rPr>
      <w:rFonts w:ascii="Palatino Linotype" w:hAnsi="Palatino Linotype" w:cs="Palatino Linotype"/>
    </w:rPr>
  </w:style>
  <w:style w:type="character" w:styleId="Domylnaczcionkaakapitu">
    <w:name w:val="Domyślna czcionka akapitu"/>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Domylnaczcionkaakapitu1">
    <w:name w:val="Domyślna czcionka akapitu1"/>
    <w:qFormat/>
    <w:rPr/>
  </w:style>
  <w:style w:type="character" w:styleId="DefaultParagraphFont">
    <w:name w:val="Default Paragraph Font"/>
    <w:qFormat/>
    <w:rPr/>
  </w:style>
  <w:style w:type="character" w:styleId="Czeinternetowe">
    <w:name w:val="Hyperlink"/>
    <w:rPr>
      <w:rFonts w:cs="Times New Roman"/>
      <w:color w:val="FF0000"/>
      <w:u w:val="single" w:color="000000"/>
      <w:lang w:val="zxx" w:bidi="zxx"/>
    </w:rPr>
  </w:style>
  <w:style w:type="character" w:styleId="Znakiprzypiswdolnych">
    <w:name w:val="Znaki przypisów dolnych"/>
    <w:qFormat/>
    <w:rPr>
      <w:rFonts w:cs="Times New Roman"/>
      <w:vertAlign w:val="superscript"/>
    </w:rPr>
  </w:style>
  <w:style w:type="character" w:styleId="Zakotwiczenieprzypisudolnego">
    <w:name w:val="Footnote Reference"/>
    <w:rPr>
      <w:rFonts w:cs="Times New Roman"/>
      <w:vertAlign w:val="superscript"/>
    </w:rPr>
  </w:style>
  <w:style w:type="character" w:styleId="AkapitzlistZnak">
    <w:name w:val="Akapit z listą Znak"/>
    <w:qFormat/>
    <w:rPr>
      <w:rFonts w:ascii="Calibri" w:hAnsi="Calibri" w:cs="Calibri"/>
      <w:lang w:val="en-US"/>
    </w:rPr>
  </w:style>
  <w:style w:type="character" w:styleId="TytuZnak">
    <w:name w:val="Tytuł Znak"/>
    <w:qFormat/>
    <w:rPr>
      <w:rFonts w:cs="Times New Roman"/>
      <w:b/>
      <w:sz w:val="28"/>
      <w:szCs w:val="28"/>
      <w:lang w:val="en-US"/>
    </w:rPr>
  </w:style>
  <w:style w:type="character" w:styleId="TekstprzypisudolnegoZnak">
    <w:name w:val="Tekst przypisu dolnego Znak"/>
    <w:qFormat/>
    <w:rPr>
      <w:rFonts w:ascii="Calibri" w:hAnsi="Calibri" w:cs="Arial"/>
      <w:sz w:val="20"/>
      <w:szCs w:val="20"/>
      <w:lang w:val="en-US"/>
    </w:rPr>
  </w:style>
  <w:style w:type="character" w:styleId="TekstdymkaZnak">
    <w:name w:val="Tekst dymka Znak"/>
    <w:qFormat/>
    <w:rPr>
      <w:rFonts w:ascii="Segoe UI" w:hAnsi="Segoe UI" w:cs="Segoe UI"/>
      <w:sz w:val="18"/>
      <w:szCs w:val="18"/>
    </w:rPr>
  </w:style>
  <w:style w:type="character" w:styleId="Annotationreference">
    <w:name w:val="annotation reference"/>
    <w:qFormat/>
    <w:rPr>
      <w:rFonts w:cs="Times New Roman"/>
      <w:sz w:val="16"/>
    </w:rPr>
  </w:style>
  <w:style w:type="character" w:styleId="TekstkomentarzaZnak">
    <w:name w:val="Tekst komentarza Znak"/>
    <w:qFormat/>
    <w:rPr>
      <w:sz w:val="20"/>
    </w:rPr>
  </w:style>
  <w:style w:type="character" w:styleId="TekstkomentarzaZnak1">
    <w:name w:val="Tekst komentarza Znak1"/>
    <w:qFormat/>
    <w:rPr>
      <w:rFonts w:cs="Times New Roman"/>
      <w:sz w:val="20"/>
      <w:szCs w:val="20"/>
    </w:rPr>
  </w:style>
  <w:style w:type="character" w:styleId="TematkomentarzaZnak">
    <w:name w:val="Temat komentarza Znak"/>
    <w:qFormat/>
    <w:rPr>
      <w:rFonts w:cs="Times New Roman"/>
      <w:b/>
      <w:bCs/>
      <w:sz w:val="20"/>
      <w:szCs w:val="20"/>
    </w:rPr>
  </w:style>
  <w:style w:type="character" w:styleId="UnresolvedMention">
    <w:name w:val="Unresolved Mention"/>
    <w:qFormat/>
    <w:rPr>
      <w:rFonts w:cs="Times New Roman"/>
      <w:color w:val="808080"/>
    </w:rPr>
  </w:style>
  <w:style w:type="character" w:styleId="NagwekZnak">
    <w:name w:val="Nagłówek Znak"/>
    <w:qFormat/>
    <w:rPr>
      <w:rFonts w:cs="Times New Roman"/>
      <w:sz w:val="24"/>
      <w:szCs w:val="24"/>
    </w:rPr>
  </w:style>
  <w:style w:type="character" w:styleId="StopkaZnak">
    <w:name w:val="Stopka Znak"/>
    <w:qFormat/>
    <w:rPr>
      <w:rFonts w:cs="Times New Roman"/>
      <w:sz w:val="24"/>
      <w:szCs w:val="24"/>
    </w:rPr>
  </w:style>
  <w:style w:type="character" w:styleId="Znakinumeracji">
    <w:name w:val="Znaki numeracji"/>
    <w:qFormat/>
    <w:rPr>
      <w:rFonts w:ascii="Palatino Linotype" w:hAnsi="Palatino Linotype" w:cs="Palatino Linotype"/>
      <w:sz w:val="20"/>
      <w:szCs w:val="20"/>
    </w:rPr>
  </w:style>
  <w:style w:type="paragraph" w:styleId="Nagwek">
    <w:name w:val="Nagłówek"/>
    <w:basedOn w:val="Normal"/>
    <w:next w:val="Podtytu"/>
    <w:qFormat/>
    <w:pPr>
      <w:numPr>
        <w:ilvl w:val="0"/>
        <w:numId w:val="0"/>
      </w:numPr>
      <w:spacing w:lineRule="atLeast" w:line="240" w:before="120" w:after="120"/>
      <w:ind w:left="0" w:right="0" w:hanging="0"/>
      <w:jc w:val="center"/>
    </w:pPr>
    <w:rPr>
      <w:b/>
      <w:bCs/>
      <w:sz w:val="28"/>
      <w:szCs w:val="28"/>
    </w:rPr>
  </w:style>
  <w:style w:type="paragraph" w:styleId="Tretekstu">
    <w:name w:val="Body Text"/>
    <w:basedOn w:val="Normal"/>
    <w:pPr>
      <w:spacing w:before="0" w:after="12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Arial"/>
    </w:rPr>
  </w:style>
  <w:style w:type="paragraph" w:styleId="Nagwek2">
    <w:name w:val="Nagłówek2"/>
    <w:basedOn w:val="Normal"/>
    <w:next w:val="Tretekstu"/>
    <w:qFormat/>
    <w:pPr>
      <w:keepNext w:val="true"/>
      <w:spacing w:before="240" w:after="120"/>
    </w:pPr>
    <w:rPr>
      <w:rFonts w:ascii="Arial" w:hAnsi="Arial" w:eastAsia="Microsoft YaHei" w:cs="Lucida Sans"/>
      <w:sz w:val="28"/>
      <w:szCs w:val="28"/>
    </w:rPr>
  </w:style>
  <w:style w:type="paragraph" w:styleId="Legenda">
    <w:name w:val="Legenda"/>
    <w:basedOn w:val="Normal"/>
    <w:qFormat/>
    <w:pPr>
      <w:suppressLineNumbers/>
      <w:spacing w:before="120" w:after="120"/>
    </w:pPr>
    <w:rPr>
      <w:rFonts w:cs="Lucida Sans"/>
      <w:i/>
      <w:iCs/>
      <w:sz w:val="24"/>
      <w:szCs w:val="24"/>
    </w:rPr>
  </w:style>
  <w:style w:type="paragraph" w:styleId="Nagwek1">
    <w:name w:val="Nagłówek1"/>
    <w:basedOn w:val="Normal"/>
    <w:next w:val="Tretekstu"/>
    <w:qFormat/>
    <w:pPr>
      <w:keepNext w:val="true"/>
      <w:spacing w:before="240" w:after="120"/>
    </w:pPr>
    <w:rPr>
      <w:rFonts w:ascii="Arial" w:hAnsi="Arial" w:eastAsia="Microsoft YaHei" w:cs="Arial"/>
      <w:sz w:val="28"/>
      <w:szCs w:val="28"/>
    </w:rPr>
  </w:style>
  <w:style w:type="paragraph" w:styleId="Podpis1">
    <w:name w:val="Podpis1"/>
    <w:basedOn w:val="Normal"/>
    <w:qFormat/>
    <w:pPr>
      <w:suppressLineNumbers/>
      <w:spacing w:before="120" w:after="120"/>
    </w:pPr>
    <w:rPr>
      <w:rFonts w:cs="Arial"/>
      <w:i/>
      <w:iCs/>
      <w:sz w:val="24"/>
      <w:szCs w:val="24"/>
    </w:rPr>
  </w:style>
  <w:style w:type="paragraph" w:styleId="ListParagraph">
    <w:name w:val="List Paragraph"/>
    <w:basedOn w:val="Normal"/>
    <w:qFormat/>
    <w:pPr>
      <w:numPr>
        <w:ilvl w:val="0"/>
        <w:numId w:val="0"/>
      </w:numPr>
      <w:spacing w:lineRule="auto" w:line="252" w:before="0" w:after="160"/>
      <w:ind w:left="720" w:right="0" w:hanging="0"/>
    </w:pPr>
    <w:rPr>
      <w:rFonts w:ascii="Calibri" w:hAnsi="Calibri" w:cs="Calibri"/>
      <w:sz w:val="22"/>
      <w:szCs w:val="22"/>
    </w:rPr>
  </w:style>
  <w:style w:type="paragraph" w:styleId="Podtytu">
    <w:name w:val="Subtitle"/>
    <w:basedOn w:val="Nagwek1"/>
    <w:next w:val="Tretekstu"/>
    <w:qFormat/>
    <w:pPr>
      <w:jc w:val="center"/>
    </w:pPr>
    <w:rPr>
      <w:i/>
      <w:iCs/>
      <w:sz w:val="28"/>
      <w:szCs w:val="28"/>
    </w:rPr>
  </w:style>
  <w:style w:type="paragraph" w:styleId="Przypisdolny">
    <w:name w:val="Footnote Text"/>
    <w:basedOn w:val="Normal"/>
    <w:qFormat/>
    <w:pPr>
      <w:numPr>
        <w:ilvl w:val="0"/>
        <w:numId w:val="0"/>
      </w:numPr>
      <w:ind w:left="0" w:right="0" w:hanging="0"/>
    </w:pPr>
    <w:rPr>
      <w:rFonts w:ascii="Calibri" w:hAnsi="Calibri" w:cs="Arial"/>
      <w:sz w:val="20"/>
      <w:szCs w:val="20"/>
    </w:rPr>
  </w:style>
  <w:style w:type="paragraph" w:styleId="BalloonText">
    <w:name w:val="Balloon Text"/>
    <w:basedOn w:val="Normal"/>
    <w:qFormat/>
    <w:pPr>
      <w:numPr>
        <w:ilvl w:val="0"/>
        <w:numId w:val="0"/>
      </w:numPr>
      <w:ind w:left="0" w:right="0" w:hanging="0"/>
    </w:pPr>
    <w:rPr>
      <w:rFonts w:ascii="Segoe UI" w:hAnsi="Segoe UI" w:cs="Segoe UI"/>
      <w:sz w:val="18"/>
      <w:szCs w:val="18"/>
    </w:rPr>
  </w:style>
  <w:style w:type="paragraph" w:styleId="Tekstkomentarza1">
    <w:name w:val="Tekst komentarza1"/>
    <w:basedOn w:val="Normal"/>
    <w:qFormat/>
    <w:pPr>
      <w:numPr>
        <w:ilvl w:val="0"/>
        <w:numId w:val="0"/>
      </w:numPr>
      <w:spacing w:before="0" w:after="160"/>
      <w:ind w:left="0" w:right="0" w:hanging="0"/>
    </w:pPr>
    <w:rPr>
      <w:sz w:val="20"/>
      <w:szCs w:val="20"/>
    </w:rPr>
  </w:style>
  <w:style w:type="paragraph" w:styleId="Annotationtext">
    <w:name w:val="annotation text"/>
    <w:basedOn w:val="Normal"/>
    <w:qFormat/>
    <w:pPr>
      <w:numPr>
        <w:ilvl w:val="0"/>
        <w:numId w:val="0"/>
      </w:numPr>
      <w:ind w:left="0" w:right="0" w:hanging="0"/>
    </w:pPr>
    <w:rPr>
      <w:sz w:val="20"/>
      <w:szCs w:val="20"/>
    </w:rPr>
  </w:style>
  <w:style w:type="paragraph" w:styleId="Annotationsubject">
    <w:name w:val="annotation subject"/>
    <w:basedOn w:val="Annotationtext"/>
    <w:qFormat/>
    <w:pPr>
      <w:numPr>
        <w:ilvl w:val="0"/>
        <w:numId w:val="0"/>
      </w:numPr>
      <w:ind w:left="0" w:right="0" w:hanging="0"/>
    </w:pPr>
    <w:rPr>
      <w:b/>
      <w:bCs/>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
    <w:name w:val="Header"/>
    <w:basedOn w:val="Normal"/>
    <w:pPr>
      <w:numPr>
        <w:ilvl w:val="0"/>
        <w:numId w:val="0"/>
      </w:numPr>
      <w:suppressLineNumbers/>
      <w:tabs>
        <w:tab w:val="clear" w:pos="708"/>
        <w:tab w:val="center" w:pos="4536" w:leader="none"/>
        <w:tab w:val="right" w:pos="9072" w:leader="none"/>
      </w:tabs>
      <w:ind w:left="0" w:right="0" w:hanging="0"/>
    </w:pPr>
    <w:rPr/>
  </w:style>
  <w:style w:type="paragraph" w:styleId="Stopka">
    <w:name w:val="Footer"/>
    <w:basedOn w:val="Normal"/>
    <w:pPr>
      <w:numPr>
        <w:ilvl w:val="0"/>
        <w:numId w:val="0"/>
      </w:numPr>
      <w:suppressLineNumbers/>
      <w:tabs>
        <w:tab w:val="clear" w:pos="708"/>
        <w:tab w:val="center" w:pos="4536" w:leader="none"/>
        <w:tab w:val="right" w:pos="9072" w:leader="none"/>
      </w:tabs>
      <w:ind w:left="0" w:right="0" w:hanging="0"/>
    </w:pPr>
    <w:rPr/>
  </w:style>
  <w:style w:type="paragraph" w:styleId="Caption">
    <w:name w:val="caption"/>
    <w:basedOn w:val="Normal"/>
    <w:qFormat/>
    <w:pPr>
      <w:numPr>
        <w:ilvl w:val="0"/>
        <w:numId w:val="0"/>
      </w:numPr>
      <w:ind w:left="0" w:right="0" w:hanging="0"/>
    </w:pPr>
    <w:rPr>
      <w:b/>
      <w:bCs/>
      <w:sz w:val="20"/>
      <w:szCs w:val="20"/>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18</TotalTime>
  <Application>LibreOffice/7.4.3.2$Windows_X86_64 LibreOffice_project/1048a8393ae2eeec98dff31b5c133c5f1d08b890</Application>
  <AppVersion>15.0000</AppVersion>
  <Pages>4</Pages>
  <Words>1411</Words>
  <Characters>9647</Characters>
  <CharactersWithSpaces>11042</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2021-02-17T21:24:00Z</dcterms:created>
  <dc:creator>Andrzej Jędrzejczak</dc:creator>
  <dc:description/>
  <dc:language>pl-PL</dc:language>
  <cp:lastModifiedBy/>
  <dcterms:modified xsi:type="dcterms:W3CDTF">2025-03-06T13:18:11Z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