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1"/>
        <w:spacing w:before="1" w:after="0"/>
        <w:ind w:right="776" w:hanging="0"/>
        <w:jc w:val="right"/>
        <w:rPr>
          <w:spacing w:val="-5"/>
        </w:rPr>
      </w:pPr>
      <w:r>
        <w:rPr/>
        <w:t>Załącznik</w:t>
      </w:r>
      <w:r>
        <w:rPr>
          <w:spacing w:val="-3"/>
        </w:rPr>
        <w:t xml:space="preserve"> </w:t>
      </w:r>
      <w:r>
        <w:rPr/>
        <w:t>nr</w:t>
      </w:r>
      <w:r>
        <w:rPr>
          <w:spacing w:val="-2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>
          <w:spacing w:val="-5"/>
        </w:rPr>
        <w:t>SWZ</w:t>
      </w:r>
    </w:p>
    <w:p>
      <w:pPr>
        <w:pStyle w:val="Nagwek1"/>
        <w:spacing w:before="1" w:after="0"/>
        <w:ind w:right="776" w:hanging="0"/>
        <w:jc w:val="right"/>
        <w:rPr>
          <w:sz w:val="20"/>
          <w:szCs w:val="20"/>
        </w:rPr>
      </w:pPr>
      <w:r>
        <w:rPr>
          <w:b w:val="false"/>
          <w:sz w:val="20"/>
          <w:szCs w:val="20"/>
        </w:rPr>
        <w:t>SPZOZ/FERS 04.15/2/2025</w:t>
      </w:r>
    </w:p>
    <w:p>
      <w:pPr>
        <w:pStyle w:val="Tretekstu"/>
        <w:jc w:val="left"/>
        <w:rPr/>
      </w:pPr>
      <w:r>
        <w:rPr/>
      </w:r>
    </w:p>
    <w:p>
      <w:pPr>
        <w:pStyle w:val="Nagwek1"/>
        <w:spacing w:before="1" w:after="0"/>
        <w:ind w:right="776" w:hanging="0"/>
        <w:jc w:val="right"/>
        <w:rPr/>
      </w:pPr>
      <w:r>
        <w:rPr/>
      </w:r>
    </w:p>
    <w:p>
      <w:pPr>
        <w:pStyle w:val="Tretekstu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retekstu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retekstu"/>
        <w:spacing w:before="45" w:after="0"/>
        <w:jc w:val="center"/>
        <w:rPr>
          <w:rFonts w:ascii="Times New Roman" w:hAnsi="Times New Roman"/>
        </w:rPr>
      </w:pPr>
      <w:r>
        <w:rPr>
          <w:b/>
          <w:color w:val="000000"/>
        </w:rPr>
        <w:t>Opis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</w:rPr>
        <w:t>przedmiotu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2"/>
        </w:rPr>
        <w:t>zamówienia</w:t>
      </w:r>
    </w:p>
    <w:p>
      <w:pPr>
        <w:pStyle w:val="Tretekstu"/>
        <w:jc w:val="left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/>
      </w:pPr>
      <w:r>
        <w:rPr>
          <w:b/>
        </w:rPr>
        <w:t>przedmiot</w:t>
      </w:r>
      <w:r>
        <w:rPr>
          <w:b/>
          <w:spacing w:val="40"/>
        </w:rPr>
        <w:t xml:space="preserve"> </w:t>
      </w:r>
      <w:r>
        <w:rPr>
          <w:b/>
        </w:rPr>
        <w:t xml:space="preserve">zamówienia: </w:t>
      </w:r>
      <w:r>
        <w:rPr/>
        <w:t>przedmiotem zamówienia jest</w:t>
      </w:r>
      <w:r>
        <w:rPr>
          <w:b/>
        </w:rPr>
        <w:t xml:space="preserve"> wybór ekspertów do opracowania</w:t>
      </w:r>
      <w:r>
        <w:rPr>
          <w:b/>
          <w:spacing w:val="40"/>
        </w:rPr>
        <w:t xml:space="preserve"> 2 </w:t>
      </w:r>
      <w:r>
        <w:rPr>
          <w:b/>
        </w:rPr>
        <w:t>specjalistycznych programów diagnozy i leczenia zaburzeń psychicznych dla dzieci i młodzieży</w:t>
      </w:r>
      <w:r>
        <w:rPr>
          <w:b/>
          <w:spacing w:val="40"/>
        </w:rPr>
        <w:t xml:space="preserve"> </w:t>
      </w:r>
      <w:r>
        <w:rPr>
          <w:b/>
        </w:rPr>
        <w:t>oraz</w:t>
      </w:r>
      <w:r>
        <w:rPr>
          <w:b/>
          <w:spacing w:val="40"/>
        </w:rPr>
        <w:t xml:space="preserve"> </w:t>
      </w:r>
      <w:r>
        <w:rPr>
          <w:b/>
        </w:rPr>
        <w:t>przeprowadzenia (na zasadach prawa opcji zgodnie z ustawą Prawo zamówień publicznych) szkoleń</w:t>
      </w:r>
      <w:r>
        <w:rPr>
          <w:b/>
          <w:spacing w:val="40"/>
        </w:rPr>
        <w:t xml:space="preserve"> </w:t>
      </w:r>
      <w:r>
        <w:rPr>
          <w:b/>
        </w:rPr>
        <w:t>w</w:t>
      </w:r>
      <w:r>
        <w:rPr>
          <w:b/>
          <w:spacing w:val="40"/>
        </w:rPr>
        <w:t xml:space="preserve"> </w:t>
      </w:r>
      <w:r>
        <w:rPr>
          <w:b/>
        </w:rPr>
        <w:t xml:space="preserve">zakresie specjalistycznych programów diagnozy i leczenia zaburzeń psychicznych dla dzieci i młodzieży </w:t>
      </w:r>
      <w:r>
        <w:rPr/>
        <w:t>w ramach projektu „Opracowanie i realizacja specjalistycznych programów diagnozy i leczenia zaburzeń psychicznych”, współfinansowanego przez Unię Europejską ze środków Europejskiego Funduszu Społecznego Plus w ramach Programu</w:t>
      </w:r>
      <w:r>
        <w:rPr>
          <w:spacing w:val="-1"/>
        </w:rPr>
        <w:t xml:space="preserve"> </w:t>
      </w:r>
      <w:r>
        <w:rPr/>
        <w:t>Fundusze Europejskie dla Rozwoju Społecznego 2021-2027,</w:t>
      </w:r>
      <w:r>
        <w:rPr>
          <w:spacing w:val="-1"/>
        </w:rPr>
        <w:t xml:space="preserve"> </w:t>
      </w:r>
      <w:r>
        <w:rPr/>
        <w:t>Działanie</w:t>
      </w:r>
      <w:r>
        <w:rPr>
          <w:spacing w:val="-1"/>
        </w:rPr>
        <w:t xml:space="preserve"> </w:t>
      </w:r>
      <w:r>
        <w:rPr/>
        <w:t xml:space="preserve">FERS.04.15 Skuteczny i odporny system ochrony zdrowia.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/>
      </w:pPr>
      <w:r>
        <w:rPr>
          <w:b/>
        </w:rPr>
        <w:t>uzasadnienie opracowania:</w:t>
      </w:r>
      <w:r>
        <w:rPr/>
        <w:t xml:space="preserve"> wypracowane specjalistyczne programy diagnozy i leczenia zostaną wdrożone do praktyki klinicznej w podmiotach realizujących projekt (Instytut Psychiatrii i Neurologii w Warszawie, Specjalistyczny Psychiatryczny Zespół Opieki Zdrowotnej w Łodzi), oferujących świadczenia zdrowotne w obszarze zdrowia psychicznego. Wypracowanie specjalistycznych programów, dostosowanych do najnowszych zasad i metod diagnozy w psychiatrii, przyczyni się do upowszechnienia stosowania nowoczesnych i nowatorskich rozwiązań w ochronie zdrowia, umożliwi racjonalizację i optymalizację kosztów opieki psychiatrycznej  oraz zwiększy efektywność procesów diagnostycznych i terapeutycznych. Wypracowane programy specjalistyczne będą stanowiły podstawę do rozpoczęcia prac nad zmianą koszyka świadczeń gwarantowanych w rodzaju opieka psychiatryczna i leczenie uzależnień.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/>
      </w:pPr>
      <w:r>
        <w:rPr>
          <w:b/>
        </w:rPr>
        <w:t>główne cele i założenia opracowania: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jc w:val="left"/>
        <w:rPr/>
      </w:pPr>
      <w:r>
        <w:rPr/>
        <w:t>wypracowanie rekomendacji dotyczących ścieżki pacjenta w systemie ochrony zdrowia psychicznego zgodnie ze standardami leczenia,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851" w:right="776" w:hanging="142"/>
        <w:jc w:val="left"/>
        <w:rPr/>
      </w:pPr>
      <w:r>
        <w:rPr/>
        <w:t>optymalizacja wykorzystania kadr medycznych,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851" w:right="776" w:hanging="142"/>
        <w:jc w:val="left"/>
        <w:rPr/>
      </w:pPr>
      <w:r>
        <w:rPr/>
        <w:t>wypracowanie rozwiązań, zwiększających dostępność usług ambulatoryjnych,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rPr/>
      </w:pPr>
      <w:r>
        <w:rPr/>
        <w:t xml:space="preserve">poszerzenie zakresu stosowanych obecnie usług z zakresu diagnozy i leczenia zaburzeń psychicznych, 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rPr/>
      </w:pPr>
      <w:r>
        <w:rPr/>
        <w:t>poprawa jakości udzielanych świadczeń zdrowotnych, bazujących na aktualnej wiedzy medycznej,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rPr/>
      </w:pPr>
      <w:r>
        <w:rPr/>
        <w:t>uwzględnienie wysokospecjalistycznych oddziaływań, kierowanych do pacjentów i pacjentek.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56" w:leader="none"/>
        </w:tabs>
        <w:spacing w:before="126" w:after="0"/>
        <w:rPr/>
      </w:pPr>
      <w:r>
        <w:rPr/>
        <w:t>Nazwa</w:t>
      </w:r>
      <w:r>
        <w:rPr>
          <w:spacing w:val="-5"/>
        </w:rPr>
        <w:t xml:space="preserve"> </w:t>
      </w:r>
      <w:r>
        <w:rPr/>
        <w:t>i</w:t>
      </w:r>
      <w:r>
        <w:rPr>
          <w:spacing w:val="-5"/>
        </w:rPr>
        <w:t xml:space="preserve"> </w:t>
      </w:r>
      <w:r>
        <w:rPr/>
        <w:t>kod</w:t>
      </w:r>
      <w:r>
        <w:rPr>
          <w:spacing w:val="-5"/>
        </w:rPr>
        <w:t xml:space="preserve"> </w:t>
      </w:r>
      <w:r>
        <w:rPr/>
        <w:t>zamówienia</w:t>
      </w:r>
      <w:r>
        <w:rPr>
          <w:spacing w:val="-5"/>
        </w:rPr>
        <w:t xml:space="preserve"> </w:t>
      </w:r>
      <w:r>
        <w:rPr/>
        <w:t>według</w:t>
      </w:r>
      <w:r>
        <w:rPr>
          <w:spacing w:val="-5"/>
        </w:rPr>
        <w:t xml:space="preserve"> </w:t>
      </w:r>
      <w:r>
        <w:rPr/>
        <w:t>Wspólnego</w:t>
      </w:r>
      <w:r>
        <w:rPr>
          <w:spacing w:val="-5"/>
        </w:rPr>
        <w:t xml:space="preserve"> </w:t>
      </w:r>
      <w:r>
        <w:rPr/>
        <w:t>Słownika</w:t>
      </w:r>
      <w:r>
        <w:rPr>
          <w:spacing w:val="-5"/>
        </w:rPr>
        <w:t xml:space="preserve"> </w:t>
      </w:r>
      <w:r>
        <w:rPr>
          <w:spacing w:val="-2"/>
        </w:rPr>
        <w:t>Zamówień:</w:t>
      </w:r>
    </w:p>
    <w:p>
      <w:pPr>
        <w:pStyle w:val="Tretekstu"/>
        <w:spacing w:lineRule="auto" w:line="360" w:before="127" w:after="0"/>
        <w:ind w:left="760" w:hanging="0"/>
        <w:jc w:val="left"/>
        <w:rPr>
          <w:spacing w:val="10"/>
        </w:rPr>
      </w:pPr>
      <w:r>
        <w:rPr/>
        <w:t>CPV:</w:t>
      </w:r>
      <w:r>
        <w:rPr>
          <w:spacing w:val="10"/>
        </w:rPr>
        <w:t xml:space="preserve"> </w:t>
      </w:r>
    </w:p>
    <w:p>
      <w:pPr>
        <w:pStyle w:val="Tretekstu"/>
        <w:spacing w:lineRule="auto" w:line="360"/>
        <w:ind w:left="760" w:hanging="51"/>
        <w:rPr/>
      </w:pPr>
      <w:r>
        <w:rPr/>
        <w:t>73000000-2</w:t>
      </w:r>
      <w:r>
        <w:rPr>
          <w:spacing w:val="10"/>
        </w:rPr>
        <w:t xml:space="preserve"> </w:t>
      </w:r>
      <w:r>
        <w:rPr/>
        <w:t>Usługi</w:t>
      </w:r>
      <w:r>
        <w:rPr>
          <w:spacing w:val="10"/>
        </w:rPr>
        <w:t xml:space="preserve"> </w:t>
      </w:r>
      <w:r>
        <w:rPr/>
        <w:t>badawcze</w:t>
      </w:r>
      <w:r>
        <w:rPr>
          <w:spacing w:val="10"/>
        </w:rPr>
        <w:t xml:space="preserve"> </w:t>
      </w:r>
      <w:r>
        <w:rPr/>
        <w:t>i</w:t>
      </w:r>
      <w:r>
        <w:rPr>
          <w:spacing w:val="10"/>
        </w:rPr>
        <w:t xml:space="preserve"> </w:t>
      </w:r>
      <w:r>
        <w:rPr/>
        <w:t>eksperymentalno-rozwojowe</w:t>
      </w:r>
      <w:r>
        <w:rPr>
          <w:spacing w:val="11"/>
        </w:rPr>
        <w:t xml:space="preserve"> </w:t>
      </w:r>
      <w:r>
        <w:rPr/>
        <w:t>oraz</w:t>
      </w:r>
      <w:r>
        <w:rPr>
          <w:spacing w:val="10"/>
        </w:rPr>
        <w:t xml:space="preserve"> </w:t>
      </w:r>
      <w:r>
        <w:rPr/>
        <w:t>pokrewne</w:t>
      </w:r>
      <w:r>
        <w:rPr>
          <w:spacing w:val="11"/>
        </w:rPr>
        <w:t xml:space="preserve"> </w:t>
      </w:r>
      <w:r>
        <w:rPr>
          <w:spacing w:val="-2"/>
        </w:rPr>
        <w:t>usługi</w:t>
      </w:r>
      <w:r>
        <w:rPr/>
        <w:t xml:space="preserve"> </w:t>
      </w:r>
      <w:r>
        <w:rPr>
          <w:spacing w:val="-2"/>
        </w:rPr>
        <w:t>doradcze</w:t>
      </w:r>
    </w:p>
    <w:p>
      <w:pPr>
        <w:pStyle w:val="Tretekstu"/>
        <w:spacing w:lineRule="auto" w:line="360"/>
        <w:ind w:right="3545" w:firstLine="709"/>
        <w:jc w:val="left"/>
        <w:rPr/>
      </w:pPr>
      <w:r>
        <w:rPr/>
        <w:t>79419000-4</w:t>
      </w:r>
      <w:r>
        <w:rPr>
          <w:spacing w:val="-7"/>
        </w:rPr>
        <w:t xml:space="preserve"> </w:t>
      </w:r>
      <w:r>
        <w:rPr/>
        <w:t>Usługi</w:t>
      </w:r>
      <w:r>
        <w:rPr>
          <w:spacing w:val="-7"/>
        </w:rPr>
        <w:t xml:space="preserve"> </w:t>
      </w:r>
      <w:r>
        <w:rPr/>
        <w:t>konsultacyjne</w:t>
      </w:r>
      <w:r>
        <w:rPr>
          <w:spacing w:val="-7"/>
        </w:rPr>
        <w:t xml:space="preserve"> </w:t>
      </w:r>
      <w:r>
        <w:rPr/>
        <w:t>w</w:t>
      </w:r>
      <w:r>
        <w:rPr>
          <w:spacing w:val="-7"/>
        </w:rPr>
        <w:t xml:space="preserve"> </w:t>
      </w:r>
      <w:r>
        <w:rPr/>
        <w:t>zakresie</w:t>
      </w:r>
      <w:r>
        <w:rPr>
          <w:spacing w:val="-7"/>
        </w:rPr>
        <w:t xml:space="preserve"> </w:t>
      </w:r>
      <w:r>
        <w:rPr/>
        <w:t xml:space="preserve">ewaluacji </w:t>
      </w:r>
    </w:p>
    <w:p>
      <w:pPr>
        <w:pStyle w:val="Tretekstu"/>
        <w:spacing w:lineRule="auto" w:line="360"/>
        <w:ind w:right="2789" w:firstLine="709"/>
        <w:jc w:val="left"/>
        <w:rPr/>
      </w:pPr>
      <w:r>
        <w:rPr/>
        <w:t>80320000-3 Usługi edukacji medycznej</w:t>
      </w:r>
    </w:p>
    <w:p>
      <w:pPr>
        <w:pStyle w:val="Tretekstu"/>
        <w:spacing w:lineRule="auto" w:line="360"/>
        <w:ind w:right="2789" w:firstLine="709"/>
        <w:jc w:val="left"/>
        <w:rPr/>
      </w:pPr>
      <w:r>
        <w:rPr/>
        <w:t>80561000-4 Usługi szkolenia w dziedzinie zdrowia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  <w:tab w:val="left" w:pos="9639" w:leader="none"/>
        </w:tabs>
        <w:spacing w:lineRule="auto" w:line="360"/>
        <w:ind w:left="682" w:right="611" w:hanging="284"/>
        <w:rPr/>
      </w:pPr>
      <w:r>
        <w:rPr/>
        <w:t>Przedmiot zamówienia został podzielony na części, a szczegółowy opis poszczególnych części zawarty jest w tabeli zamieszczonej w pkt 6 OPZ.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611" w:hanging="284"/>
        <w:rPr/>
      </w:pPr>
      <w:r>
        <w:rPr/>
        <w:t>Wykonawca zobowiązany jest wyznaczyć do realizacji zamówienia osobę (Eksperta/Ekspertkę), która spełnia minimalne wymagania merytoryczne określone w poniższej tabeli w odniesieniu do danej części zamówienia. Minimalne wymagania merytoryczne są to wymagania dotyczące wykształcenia, kwalifikacji i doświadczenia, które musi spełniać osoba (Ekspert/Ekspertka) wyznaczona do realizacji zamówienia w ramach danej części zamówienia. Wszystkie używane pojęcia należy rozumieć zgodnie z obowiązującymi przepisami prawa – jeżeli pojęcia te zostały zdefiniowane w treści obowiązujących aktów prawnych. Zamawiający wymaga, aby zamówienie – w zakresie opracowania specjalistycznego programu oraz przeprowadzenia szkolenia – zostało zrealizowane osobiście przez osobę wyznaczoną do realizacji zamówienia (Eksperta/Ekspertkę), wskazaną w ofercie Wykonawcy. Zmiana osoby wyznaczonej do realizacji zamówienia (Eksperta/Ekspertki), wskazanej w ofercie Wykonawcy, na etapie realizacji zamówienia, jest możliwa wyłącznie za zgodą Zamawiającego oraz pod warunkiem, ze nowo wskazana osoba spełnia minimalne wymagania merytoryczne określone przez Zamawiającego w zakresie danej części zamówienia oraz uzyskałaby co najmniej taką samą ocenę, co osoba zastępowana w ramach pozacenowych kryteriów oceny ofert, dotyczących wykształcenia, kwalifikacji, doświadczenia, określonych w dokumentacji postępowania, na podstawie której dokonano wyboru oferty Wykonawcy.</w:t>
      </w:r>
    </w:p>
    <w:tbl>
      <w:tblPr>
        <w:tblStyle w:val="Tabela-Siatka"/>
        <w:tblpPr w:bottomFromText="0" w:horzAnchor="text" w:leftFromText="141" w:rightFromText="141" w:tblpX="75" w:tblpY="1" w:topFromText="0" w:vertAnchor="text"/>
        <w:tblW w:w="1059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8"/>
        <w:gridCol w:w="3857"/>
        <w:gridCol w:w="2879"/>
        <w:gridCol w:w="1592"/>
        <w:gridCol w:w="1243"/>
        <w:gridCol w:w="60"/>
      </w:tblGrid>
      <w:tr>
        <w:trPr>
          <w:trHeight w:val="562" w:hRule="atLeast"/>
        </w:trPr>
        <w:tc>
          <w:tcPr>
            <w:tcW w:w="4815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zamówienia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Zakres zamówienia dla danej części zamówienia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/łącznie dla każdego Eksperta/Ekspertki/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0" w:hanging="87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Czas zaangażowania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hanging="87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Eksperta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0" w:hanging="87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Termin realizacji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754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Diagnostyka i leczenie zaburzeń obsesyjno-kompulsywnych (OCD, ang. obsessive-compulsive disorder)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psychoterapii dzieci i młodzieży lub certyfikowany psychoterapeuta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  <w:tab w:val="left" w:pos="3023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Diagnostyka i leczenie zaburzeń obsesyjno-kompulsywnych (OCD, ang. obsessive-compulsive disorder)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(DiM),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maksymalnie: 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48h dydaktyczn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ych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lekarz lub psycholog lub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>Diagnostyka i leczenie zespołu nadpobudliwości ruchowej z deficytem uwagi u dzieci i młodzieży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 odpowiednio dla lekarza lub psychologa lub psychoterapeuty: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lekarz: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720" w:hanging="720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specjalista psychiatra lub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 dorobek naukowy z zakresu ps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psycholog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720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bidi w:val="0"/>
              <w:spacing w:before="0" w:after="0"/>
              <w:ind w:left="283" w:right="0" w:hanging="113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 psychologii/psychologii 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psychoterapeuta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 xml:space="preserve">posiada tytuł: specjalista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w dziedzinie psychoterapii dzieci i młodzieży lub certyfikowany psychoterapeuta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posiada 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459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601" w:leader="none"/>
              </w:tabs>
              <w:suppressAutoHyphens w:val="true"/>
              <w:spacing w:before="0" w:after="0"/>
              <w:ind w:left="317" w:hanging="317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Diagnostyka i leczenie zespołu nadpobudliwości ruchowej z deficytem uwagi u dzieci i młodzieży </w:t>
            </w:r>
            <w:r>
              <w:rPr>
                <w:b w:val="false"/>
                <w:bCs w:val="false"/>
                <w:color w:val="000000"/>
                <w:kern w:val="0"/>
                <w:sz w:val="16"/>
                <w:szCs w:val="16"/>
                <w:lang w:eastAsia="en-US" w:bidi="ar-SA"/>
              </w:rPr>
              <w:t xml:space="preserve">(DiM),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</w:tbl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0"/>
        <w:rPr>
          <w:b/>
          <w:b/>
        </w:rPr>
      </w:pPr>
      <w:r>
        <w:rPr/>
        <w:br w:type="textWrapping" w:clear="all"/>
      </w:r>
      <w:r>
        <w:rPr>
          <w:b/>
        </w:rPr>
        <w:t xml:space="preserve">UWAGA: </w:t>
      </w:r>
    </w:p>
    <w:p>
      <w:pPr>
        <w:pStyle w:val="Normal"/>
        <w:widowControl/>
        <w:tabs>
          <w:tab w:val="clear" w:pos="720"/>
          <w:tab w:val="left" w:pos="82" w:leader="none"/>
          <w:tab w:val="left" w:pos="586" w:leader="none"/>
          <w:tab w:val="left" w:pos="709" w:leader="none"/>
        </w:tabs>
        <w:suppressAutoHyphens w:val="true"/>
        <w:bidi w:val="0"/>
        <w:spacing w:before="120" w:after="120"/>
        <w:ind w:left="737" w:right="0" w:hanging="283"/>
        <w:jc w:val="both"/>
        <w:rPr/>
      </w:pPr>
      <w:r>
        <w:rPr>
          <w:rFonts w:cs="Palatino Linotype"/>
          <w:sz w:val="22"/>
          <w:szCs w:val="22"/>
        </w:rPr>
        <w:t>1) zgodnie z założeniami projektu, Osoby wyznaczone do realizacji zamówienia (Eksperci/Ekspertki) będą pracować przy opracowywaniu danego specjalistycznego programu w zespołach czteroosobowych, co zapewni interdyscyplinarność i komplementarność przy opracowywaniu programu.</w:t>
      </w:r>
    </w:p>
    <w:p>
      <w:pPr>
        <w:pStyle w:val="Normal"/>
        <w:widowControl/>
        <w:tabs>
          <w:tab w:val="clear" w:pos="720"/>
          <w:tab w:val="left" w:pos="82" w:leader="none"/>
          <w:tab w:val="left" w:pos="586" w:leader="none"/>
          <w:tab w:val="left" w:pos="709" w:leader="none"/>
        </w:tabs>
        <w:suppressAutoHyphens w:val="true"/>
        <w:bidi w:val="0"/>
        <w:spacing w:before="120" w:after="120"/>
        <w:ind w:left="737" w:right="0" w:hanging="283"/>
        <w:jc w:val="both"/>
        <w:rPr/>
      </w:pPr>
      <w:r>
        <w:rPr>
          <w:rFonts w:cs="Palatino Linotype"/>
          <w:sz w:val="22"/>
          <w:szCs w:val="22"/>
        </w:rPr>
        <w:t>2) Wykonawca zobowiązany jest wyznaczyć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Normal"/>
        <w:widowControl/>
        <w:tabs>
          <w:tab w:val="clear" w:pos="720"/>
          <w:tab w:val="left" w:pos="82" w:leader="none"/>
          <w:tab w:val="left" w:pos="586" w:leader="none"/>
          <w:tab w:val="left" w:pos="709" w:leader="none"/>
        </w:tabs>
        <w:suppressAutoHyphens w:val="true"/>
        <w:bidi w:val="0"/>
        <w:spacing w:before="120" w:after="120"/>
        <w:ind w:left="737" w:right="0" w:hanging="283"/>
        <w:jc w:val="both"/>
        <w:rPr>
          <w:rFonts w:ascii="Arial" w:hAnsi="Arial"/>
          <w:sz w:val="22"/>
          <w:szCs w:val="22"/>
        </w:rPr>
      </w:pPr>
      <w:r>
        <w:rPr>
          <w:rFonts w:cs="Palatino Linotype"/>
          <w:sz w:val="22"/>
          <w:szCs w:val="22"/>
        </w:rPr>
        <w:t>3) Zamawiający dopuszcza wskazanie tej samej osoby do realizacji zamówienia na więcej niż jedną część zamówienia – ponieważ części zamówienia objęte przedmiotowym postępowaniem nie są w obrębie jednego programu specjalistycznego. Jeżeli Wykonawca składa ofertę na więcej niż jedną część zamówienia w zakresie części 1-2 zamówienia, tj. w obrębie dwóch różnych programów – wówczas na każdą część zamówienia (1-2) może wyznaczyć tę samą osobę do realizacji zamówienia (Eksperta/Ekspertkę), pod warunkiem, że osoba ta spełnia minimalne wymagania merytoryczne określone przez Zamawiającego w Opisie przedmiotu zamówienia w zakresie każdej z tych części zamówienia.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>
          <w:b/>
          <w:b/>
        </w:rPr>
      </w:pPr>
      <w:r>
        <w:rPr>
          <w:b/>
          <w:spacing w:val="-2"/>
        </w:rPr>
        <w:t>Zakres przedmiotu zamówienia. W ramach usługi osoba wyznaczona do realizacji zamówienia (Ekspert/Ekspertka) zrealizuje:</w:t>
      </w:r>
    </w:p>
    <w:p>
      <w:pPr>
        <w:pStyle w:val="ListParagraph"/>
        <w:numPr>
          <w:ilvl w:val="0"/>
          <w:numId w:val="4"/>
        </w:numPr>
        <w:spacing w:lineRule="auto" w:line="360" w:before="120" w:after="0"/>
        <w:ind w:left="851" w:right="611" w:hanging="142"/>
        <w:rPr/>
      </w:pPr>
      <w:r>
        <w:rPr>
          <w:b/>
          <w:spacing w:val="-5"/>
          <w:u w:val="single"/>
        </w:rPr>
        <w:t>Zakres podstawowy zamówienia: Opracowanie specjalistycznych programów diagnozy i leczenia zaburzeń psychicznych dla dzieci i młodzieży (DiM), zgodnie z problematyką wskazaną przez Zamawiającego, w podziale na dwa etapy</w:t>
      </w:r>
      <w:r>
        <w:rPr>
          <w:spacing w:val="-5"/>
          <w:u w:val="single"/>
        </w:rPr>
        <w:t>:</w:t>
      </w:r>
    </w:p>
    <w:p>
      <w:pPr>
        <w:pStyle w:val="Normal"/>
        <w:tabs>
          <w:tab w:val="clear" w:pos="720"/>
          <w:tab w:val="left" w:pos="1276" w:leader="none"/>
        </w:tabs>
        <w:spacing w:lineRule="auto" w:line="360"/>
        <w:ind w:right="611" w:hanging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1276" w:leader="none"/>
        </w:tabs>
        <w:spacing w:lineRule="auto" w:line="360"/>
        <w:ind w:left="851" w:right="611" w:hanging="0"/>
        <w:jc w:val="both"/>
        <w:rPr>
          <w:b/>
          <w:b/>
        </w:rPr>
      </w:pPr>
      <w:r>
        <w:rPr>
          <w:b/>
        </w:rPr>
        <w:t>ETAP 1: opracowanie</w:t>
      </w:r>
      <w:r>
        <w:rPr>
          <w:b/>
          <w:spacing w:val="40"/>
        </w:rPr>
        <w:t xml:space="preserve"> </w:t>
      </w:r>
      <w:r>
        <w:rPr>
          <w:b/>
        </w:rPr>
        <w:t>specjalistycznego programu diagnozy i leczenia zaburzeń psychicznych dla dzieci i młodzieży, zgodnie z poniższym zakresem:</w:t>
      </w:r>
    </w:p>
    <w:p>
      <w:pPr>
        <w:pStyle w:val="ListParagraph"/>
        <w:spacing w:before="126" w:after="0"/>
        <w:ind w:left="851" w:hanging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276" w:leader="none"/>
        </w:tabs>
        <w:spacing w:lineRule="auto" w:line="360"/>
        <w:ind w:left="1276" w:right="777" w:hanging="425"/>
        <w:rPr>
          <w:b/>
          <w:b/>
        </w:rPr>
      </w:pPr>
      <w:r>
        <w:rPr>
          <w:b/>
        </w:rPr>
        <w:t>opracowanie</w:t>
      </w:r>
      <w:r>
        <w:rPr>
          <w:b/>
          <w:spacing w:val="40"/>
        </w:rPr>
        <w:t xml:space="preserve"> </w:t>
      </w:r>
      <w:r>
        <w:rPr>
          <w:b/>
        </w:rPr>
        <w:t>specjalistycznego programu diagnozy i leczenia zaburzeń psychicznych  dla dzieci i młodzieży</w:t>
      </w:r>
    </w:p>
    <w:p>
      <w:pPr>
        <w:pStyle w:val="Normal"/>
        <w:tabs>
          <w:tab w:val="clear" w:pos="720"/>
          <w:tab w:val="left" w:pos="964" w:leader="none"/>
          <w:tab w:val="left" w:pos="1005" w:leader="none"/>
          <w:tab w:val="left" w:pos="9639" w:leader="none"/>
          <w:tab w:val="left" w:pos="9923" w:leader="none"/>
        </w:tabs>
        <w:spacing w:lineRule="auto" w:line="360"/>
        <w:ind w:left="993" w:right="44" w:hanging="0"/>
        <w:rPr/>
      </w:pPr>
      <w:r>
        <w:rPr/>
        <w:t xml:space="preserve">Program specjalistyczny należy opracować w formie dokumentu zawierającego co najmniej takie elementy jak: </w:t>
        <w:br/>
      </w:r>
      <w:r>
        <w:rPr>
          <w:rFonts w:eastAsia="Symbol" w:cs="Symbol" w:ascii="Symbol" w:hAnsi="Symbol"/>
        </w:rPr>
        <w:t></w:t>
      </w:r>
      <w:r>
        <w:rPr/>
        <w:t xml:space="preserve"> opis problemu zdrowotnego i uzasadnienie wprowadzenia programu, </w:t>
        <w:br/>
      </w:r>
      <w:r>
        <w:rPr>
          <w:rFonts w:eastAsia="Symbol" w:cs="Symbol" w:ascii="Symbol" w:hAnsi="Symbol"/>
        </w:rPr>
        <w:t></w:t>
      </w:r>
      <w:r>
        <w:rPr/>
        <w:t xml:space="preserve"> cele programu i mierniki efektywności jego realizacji, </w:t>
        <w:br/>
      </w:r>
      <w:r>
        <w:rPr>
          <w:rFonts w:eastAsia="Symbol" w:cs="Symbol" w:ascii="Symbol" w:hAnsi="Symbol"/>
        </w:rPr>
        <w:t></w:t>
      </w:r>
      <w:r>
        <w:rPr/>
        <w:t xml:space="preserve"> charakterystyka populacji docelowej oraz charakterystyka planowanych interwencji, </w:t>
        <w:br/>
      </w:r>
      <w:r>
        <w:rPr>
          <w:rFonts w:eastAsia="Symbol" w:cs="Symbol" w:ascii="Symbol" w:hAnsi="Symbol"/>
        </w:rPr>
        <w:t></w:t>
      </w:r>
      <w:r>
        <w:rPr/>
        <w:t xml:space="preserve"> kryteria kwalifikacji do udziału w programie (kryteria włączenia i wyłączenia), </w:t>
        <w:br/>
      </w:r>
      <w:r>
        <w:rPr>
          <w:rFonts w:eastAsia="Symbol" w:cs="Symbol" w:ascii="Symbol" w:hAnsi="Symbol"/>
        </w:rPr>
        <w:t></w:t>
      </w:r>
      <w:r>
        <w:rPr/>
        <w:t xml:space="preserve"> planowane interwencje (procedury diagnostyczne i lecznicze), </w:t>
        <w:br/>
      </w:r>
      <w:r>
        <w:rPr>
          <w:rFonts w:eastAsia="Symbol" w:cs="Symbol" w:ascii="Symbol" w:hAnsi="Symbol"/>
        </w:rPr>
        <w:t></w:t>
      </w:r>
      <w:r>
        <w:rPr/>
        <w:t xml:space="preserve"> sposób zakończenia udziału w programie, </w:t>
        <w:br/>
      </w:r>
      <w:r>
        <w:rPr>
          <w:rFonts w:eastAsia="Symbol" w:cs="Symbol" w:ascii="Symbol" w:hAnsi="Symbol"/>
        </w:rPr>
        <w:t></w:t>
      </w:r>
      <w:r>
        <w:rPr/>
        <w:t xml:space="preserve"> organizacja programu, </w:t>
        <w:br/>
      </w:r>
      <w:r>
        <w:rPr>
          <w:rFonts w:eastAsia="Symbol" w:cs="Symbol" w:ascii="Symbol" w:hAnsi="Symbol"/>
        </w:rPr>
        <w:t></w:t>
      </w:r>
      <w:r>
        <w:rPr/>
        <w:t xml:space="preserve"> warunki realizacji programu dotyczące personelu, wyposażenia i warunków lokalowych, </w:t>
        <w:br/>
      </w:r>
      <w:r>
        <w:rPr>
          <w:rFonts w:eastAsia="Symbol" w:cs="Symbol" w:ascii="Symbol" w:hAnsi="Symbol"/>
        </w:rPr>
        <w:t></w:t>
      </w:r>
      <w:r>
        <w:rPr/>
        <w:t xml:space="preserve"> sposób monitorowania i ewaluacji programu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64" w:leader="none"/>
          <w:tab w:val="left" w:pos="1005" w:leader="none"/>
        </w:tabs>
        <w:spacing w:lineRule="auto" w:line="360"/>
        <w:ind w:left="1134" w:right="777" w:hanging="141"/>
        <w:rPr/>
      </w:pPr>
      <w:r>
        <w:rPr/>
        <w:t>założenia budżetowe programu</w:t>
      </w:r>
    </w:p>
    <w:p>
      <w:pPr>
        <w:pStyle w:val="Normal"/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993" w:right="776" w:hanging="0"/>
        <w:jc w:val="both"/>
        <w:rPr>
          <w:b/>
          <w:b/>
        </w:rPr>
      </w:pPr>
      <w:r>
        <w:rPr>
          <w:b/>
        </w:rPr>
        <w:t>Wytyczne: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>charakter programu powinien być kompleksowy i wyczerpujący, w szczególności powinien wskazywać ścieżki postępowania medycznego, adekwatnie do specyfiki danego programu, obejmować cały zespół diagnostyczny i terapeutyczny udzielający świadczeń zdrowotnych, rodzaje tych świadczeń,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>wszystkie opisy i analizy powinny opierać się na wiarygodnych, dostępnych źródłach informacji, np. doświadczenia międzynarodowe, literatura medyczna, ze szczególnym uwzględnieniem jakości i wiarygodności zebranych danych naukowych,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 xml:space="preserve">planowane interwencje powinny spełniać m.in. kryteria: 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 mogą być zgodnie z prawem stosowane na terenie Polski i spełniają wszystkie wymagania formalne do ich wykorzystania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podstawy techniczne i teoretyczne oparte są o znane i opisane mechanizmy działania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(na podstawie danych literaturowych) potwierdzoną w danych klinicznych skuteczność i bezpieczeństwo stosowania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zdefiniowaną docelową populację, która stanowić będzie odbiorcę interwencji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276" w:right="777" w:hanging="0"/>
        <w:rPr/>
      </w:pPr>
      <w:r>
        <w:rPr/>
        <w:t>- posiadają zdefiniowane warunki użytkowania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jasno określone kompetencje względem personelu niezbędne do bezpiecznego i skutecznego stosowania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istnieje możliwość bezpiecznego i wiarygodnego monitorowania skutków stosowania interwencji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odpowiadają na zidentyfikowany problem zdrowotny i zapewniają dodatnią wartość kliniczną dla pacjenta lub inną wartość dodatnią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określone ramy czasowe, pozwalające na ustalenie czasu uzyskania oczekiwanej wartości dodanej</w:t>
      </w:r>
    </w:p>
    <w:p>
      <w:pPr>
        <w:pStyle w:val="ListParagraph"/>
        <w:widowControl w:val="false"/>
        <w:numPr>
          <w:ilvl w:val="0"/>
          <w:numId w:val="14"/>
        </w:numPr>
        <w:tabs>
          <w:tab w:val="clear" w:pos="720"/>
          <w:tab w:val="left" w:pos="964" w:leader="none"/>
          <w:tab w:val="left" w:pos="1005" w:leader="none"/>
        </w:tabs>
        <w:suppressAutoHyphens w:val="true"/>
        <w:bidi w:val="0"/>
        <w:spacing w:lineRule="auto" w:line="360" w:before="127" w:after="0"/>
        <w:ind w:left="1304" w:right="794" w:hanging="283"/>
        <w:jc w:val="both"/>
        <w:rPr/>
      </w:pPr>
      <w:r>
        <w:rPr/>
        <w:t>przewidywa</w:t>
      </w:r>
      <w:r>
        <w:rPr>
          <w:shd w:fill="auto" w:val="clear"/>
        </w:rPr>
        <w:t xml:space="preserve">ny maksymalny czas uczestnictwa w programie 1 pacjenta: 12 tygodni 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>program powinien zawierać również informację o autorach zaangażowanych w jego opracowanie.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938" w:leader="none"/>
        </w:tabs>
        <w:spacing w:lineRule="auto" w:line="360"/>
        <w:ind w:left="1324" w:hanging="615"/>
        <w:rPr>
          <w:b/>
          <w:b/>
        </w:rPr>
      </w:pPr>
      <w:r>
        <w:rPr>
          <w:b/>
        </w:rPr>
        <w:t>opracowanie graficzne, redakcja</w:t>
      </w:r>
      <w:r>
        <w:rPr>
          <w:b/>
          <w:spacing w:val="-5"/>
        </w:rPr>
        <w:t xml:space="preserve"> </w:t>
      </w:r>
      <w:r>
        <w:rPr>
          <w:b/>
        </w:rPr>
        <w:t>treści programu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treść programu zostanie opracowana graficznie i edytorsko.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Wykonawca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zapewni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korektę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tekstu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programu,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tak aby dochować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poprawności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tekstów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pod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względem gramatycznym, ortograficznym, interpunkcyjnym itd. (zgodnie z normami słownikowymi). Należy zapewnić czytelność,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estetykę</w:t>
      </w:r>
      <w:r>
        <w:rPr>
          <w:color w:val="0C0C0C"/>
          <w:spacing w:val="-11"/>
        </w:rPr>
        <w:t xml:space="preserve"> </w:t>
      </w:r>
      <w:r>
        <w:rPr>
          <w:color w:val="0C0C0C"/>
        </w:rPr>
        <w:t>oraz</w:t>
      </w:r>
      <w:r>
        <w:rPr>
          <w:color w:val="0C0C0C"/>
          <w:spacing w:val="-11"/>
        </w:rPr>
        <w:t xml:space="preserve"> </w:t>
      </w:r>
      <w:r>
        <w:rPr>
          <w:color w:val="0C0C0C"/>
        </w:rPr>
        <w:t>spójność graficzną treści programu.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Wykonawca przekaże Zamawiającemu opracowany program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w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wydaniu papierowym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i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elektronicznym</w:t>
      </w:r>
      <w:r>
        <w:rPr>
          <w:color w:val="0C0C0C"/>
          <w:spacing w:val="-4"/>
        </w:rPr>
        <w:t xml:space="preserve"> (w wersji edytowalnej i </w:t>
      </w:r>
      <w:r>
        <w:rPr>
          <w:color w:val="0C0C0C"/>
        </w:rPr>
        <w:t>w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formacie</w:t>
      </w:r>
      <w:r>
        <w:rPr>
          <w:color w:val="0C0C0C"/>
          <w:spacing w:val="-4"/>
        </w:rPr>
        <w:t xml:space="preserve"> .</w:t>
      </w:r>
      <w:r>
        <w:rPr>
          <w:color w:val="0C0C0C"/>
        </w:rPr>
        <w:t>pdf).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Wersja elektroniczna będzie przygotowana zgodnie z wytycznymi dotyczącymi dostępności tre</w:t>
      </w:r>
      <w:r>
        <w:rPr>
          <w:color w:val="0C0C0C"/>
          <w:shd w:fill="auto" w:val="clear"/>
        </w:rPr>
        <w:t>ści internetowych. Dokument powinien być przystosowany do standardu WCAG 2.1, zgodnie z ustawą z dnia 4 kwietnia 2019 r.o dostępności cyfrowej stron internetowych i aplikacji mobilnych podmiotów publicznych, Rozporządzeniem Rady Ministrów z dnia 21 maja 2024 r. w sprawie Krajowych Ram Interoperacyjności, minimalnych wymagań dla rejestrów publicznych i wymiany informacji w postaci elektronicznej oraz mini</w:t>
      </w:r>
      <w:r>
        <w:rPr>
          <w:color w:val="0C0C0C"/>
        </w:rPr>
        <w:t>malnych wymagań dla systemów teleinformatycznych (Dz. U. z 2024 r. poz. 773). Należy zapewnić dostępność produktu zgodnie ze standardem szkoleniowym, informacyjno – promocyjnym, cyfrowym (Standardy dostępności dla polityki spójności 2021-2027), w szczególności przygotowanie w wersji dla osób niedowidzących i słabowidzących (np. zwiększona czcionka), w języku czułym na płeć, języku łatwym w odbiorze itp</w:t>
      </w:r>
      <w:r>
        <w:rPr>
          <w:color w:val="0C0C0C"/>
          <w:spacing w:val="-12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należy stosować język czuły na płeć. Niedopuszczalne jest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stosowanie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treści,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które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mogą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dyskryminować określone</w:t>
      </w:r>
      <w:r>
        <w:rPr>
          <w:color w:val="0C0C0C"/>
          <w:spacing w:val="-1"/>
        </w:rPr>
        <w:t xml:space="preserve"> </w:t>
      </w:r>
      <w:r>
        <w:rPr>
          <w:color w:val="0C0C0C"/>
          <w:spacing w:val="-2"/>
        </w:rPr>
        <w:t xml:space="preserve">grupy </w:t>
      </w:r>
      <w:r>
        <w:rPr>
          <w:color w:val="0C0C0C"/>
        </w:rPr>
        <w:t>społeczne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pod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względem: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płci,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wieku,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wyznawanej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religii,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poglądów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politycznych</w:t>
      </w:r>
      <w:r>
        <w:rPr>
          <w:color w:val="0C0C0C"/>
          <w:spacing w:val="-6"/>
        </w:rPr>
        <w:t xml:space="preserve"> </w:t>
      </w:r>
      <w:r>
        <w:rPr>
          <w:color w:val="0C0C0C"/>
          <w:spacing w:val="-4"/>
        </w:rPr>
        <w:t>itp.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teksty należy uzupełnić infografikami, wykresami lub zdjęciami opracowanymi wg przygotowanego przez siebie projektu. Wszystkie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teksty,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infografiki,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zdjęcia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itp.,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które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Wykonawca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wykona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w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ramach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realizacji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umowy Zamawiający będzie mógł wykorzystać, m.in. w celu publikowania ich w swoich serwisach internetowych oraz mediach społecznościowych.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612" w:hanging="284"/>
        <w:rPr>
          <w:b/>
          <w:b/>
        </w:rPr>
      </w:pPr>
      <w:r>
        <w:rPr>
          <w:color w:val="0C0C0C"/>
        </w:rPr>
        <w:t>opracowany program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musi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zostać</w:t>
      </w:r>
      <w:r>
        <w:rPr>
          <w:color w:val="0C0C0C"/>
          <w:spacing w:val="-4"/>
        </w:rPr>
        <w:t xml:space="preserve"> odpowiednio oznakowany, tj. </w:t>
      </w:r>
      <w:r>
        <w:rPr>
          <w:color w:val="0C0C0C"/>
          <w:spacing w:val="-2"/>
        </w:rPr>
        <w:t xml:space="preserve">opatrzony </w:t>
      </w:r>
      <w:r>
        <w:rPr/>
        <w:t xml:space="preserve">odpowiednimi logotypami, w szczególności: znakiem Funduszy Europejskich, barwami Rzeczypospolitej Polskiej, znakiem Unii Europejskiej wraz z informacją, że zamówienie realizowane jest w ramach projektu współfinansowanego przez Unię Europejską. </w:t>
      </w:r>
      <w:r>
        <w:rPr>
          <w:color w:val="0C0C0C"/>
        </w:rPr>
        <w:t>Powyższe oznaczenia będą odpowiadać Zasadom promocji i oznakowania projektów w Programie.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09" w:leader="none"/>
        </w:tabs>
        <w:spacing w:lineRule="auto" w:line="360"/>
        <w:ind w:left="993" w:right="611" w:hanging="284"/>
        <w:rPr>
          <w:b/>
          <w:b/>
        </w:rPr>
      </w:pPr>
      <w:r>
        <w:rPr>
          <w:b/>
        </w:rPr>
        <w:t>współpraca z innymi Ekspertami i Ekspertkami, opracowującymi programy specjalistyczne w ramach Projektu i udział w cyklicznych spotkaniach konsultacyjnych, w tym odbywających się w IPIN w Warszawie (planowane co najmniej 1 x m-c), w celu szczegółowego uzgodnienia zakresu danego programu specjalistycznego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938" w:leader="none"/>
        </w:tabs>
        <w:spacing w:lineRule="auto" w:line="360"/>
        <w:ind w:left="1324" w:hanging="615"/>
        <w:rPr/>
      </w:pPr>
      <w:r>
        <w:rPr>
          <w:b/>
        </w:rPr>
        <w:t>przygotowanie założeń merytorycznych do szkoleń dla personelu medycznego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right="611" w:hanging="0"/>
        <w:rPr/>
      </w:pPr>
      <w:r>
        <w:rPr/>
        <w:t>Wykonawca zapewni opracowanie założeń merytorycznych do szkoleń dla personelu medycznego. Autorami założeń będą Eksperci/Ekspertki uczestniczący w opracowaniu programów specjalistycznych. Założenia powinny uwzględniać grupy docelowe uczestniczące w szkoleniach (w szczególności lekarze i lekarki specjaliści psychiatr</w:t>
      </w:r>
      <w:r>
        <w:rPr>
          <w:shd w:fill="auto" w:val="clear"/>
        </w:rPr>
        <w:t>zy/psychiatrzy DiM</w:t>
      </w:r>
      <w:r>
        <w:rPr/>
        <w:t xml:space="preserve"> i innych specjaliz. oraz lekarze i lekarki w trakcie specjalizacji, psycholodzy i psycholożki, psychoterapeuci i psychoterapeutki, pielęgniarze i pielęgniarki, uczestniczący we wdrażaniu procedur, wypracowanych i opisanych w programach specjalistycznych, do praktyki diagnostycznej i leczniczej). Założenia do szkoleń powinny zawierać wytyczne co do zakresu szkoleń, uwzględniając podniesienie kwalifikacji personelu w zakresie stosowania wyspecjalizowanych standardów i procedur w opiece psychiatrycznej, skupiając się na celach opracowanych programów specjalistycznych, ich zakresie i sposobie wdrażania.</w:t>
      </w:r>
    </w:p>
    <w:p>
      <w:pPr>
        <w:pStyle w:val="Normal"/>
        <w:tabs>
          <w:tab w:val="clear" w:pos="720"/>
          <w:tab w:val="left" w:pos="938" w:leader="none"/>
        </w:tabs>
        <w:spacing w:lineRule="auto" w:line="360"/>
        <w:ind w:left="567" w:right="469" w:hanging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938" w:leader="none"/>
        </w:tabs>
        <w:spacing w:lineRule="auto" w:line="360"/>
        <w:ind w:left="567" w:right="469" w:hanging="0"/>
        <w:rPr>
          <w:b/>
          <w:b/>
        </w:rPr>
      </w:pPr>
      <w:r>
        <w:rPr>
          <w:b/>
        </w:rPr>
        <w:t>ETAP 2: ewaluacja specjalistycznego programu diagnozy i leczenia zaburzeń psychicznych dla dzieci i młodzieży, zgodnie z poniższym zakresem: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938" w:leader="none"/>
        </w:tabs>
        <w:spacing w:lineRule="auto" w:line="360"/>
        <w:ind w:left="993" w:right="611" w:hanging="426"/>
        <w:rPr>
          <w:b/>
          <w:b/>
        </w:rPr>
      </w:pPr>
      <w:r>
        <w:rPr>
          <w:b/>
        </w:rPr>
        <w:t>podjęcie działań korygujących program specjalistyczny w oparciu o wnioski, wytyczne, zalecenia, rekomendacje zawarte w raportach ewaluacyjnych przekazanych przez Zamawiającego – o ile raporty ewaluacyjne będą przewidywać potrzebę wprowadzenia zmian w programie.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right="611" w:hanging="0"/>
        <w:rPr/>
      </w:pPr>
      <w:r>
        <w:rPr/>
        <w:t xml:space="preserve">Programy zostaną poddane ewaluacji. Wyniki ewaluacji wraz z ewentualnymi zaleceniami zmian w programie zostaną przekazane Ekspertom/Ekspertkom, którzy przeanalizują dany program pod kątem wyników ewaluacji. Jeżeli rekomendacje z raportu ewaluacyjnego (ex post/ostateczny) zostaną uznane za zasadne, Eksperci/Ekspertki wprowadzą do programów zmiany w oparciu o wnioski, wytyczne, zalecenia, rekomendacje zawarte w raportach ewaluacyjnych (ex post/ostateczne). 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right="611" w:hanging="0"/>
        <w:rPr/>
      </w:pPr>
      <w:r>
        <w:rPr/>
        <w:t>Zamawiający zastrzega możliwość wezwania Wykonawcy -  w trakcie procesu ewaluacji on-going/w trakcie wdrażania programów specjalistycznych – tj. przed przekazaniem Wykonawcy raportu ewaluacyjnego (ex post/ostatecznego) - do dokonania korekt, poprawek, modyfikacji programu diagnozy i leczenia zaburzeń psychicznych dla dzieci i młodzieży przedstawionego przez Wykonawcę. Powyższe czynności modyfikacji/korekt, etc. Wykonawca winien realizować zgodnie z wytycznymi Zamawiającego przekazanymi w formie pisemnej / elektronicznej przez Zamawiającego – w terminie wskazanym przez Zamawiającego (nie krótszym niż 3 dni). Powyższe zobowiązanie nie wyłącza obowiązku Wykonawcy opisanego w zdaniu trzecim, który musi zostać wykonany w terminie do 14 dni od dnia przekazania Wykonawcy przez Zamawiającego raportu ewaluacyjnego.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hanging="398"/>
        <w:rPr/>
      </w:pPr>
      <w:r>
        <w:rPr/>
        <w:t>Niniejsze stanowi zakres podstawowy zamówienia.</w:t>
      </w:r>
    </w:p>
    <w:p>
      <w:pPr>
        <w:pStyle w:val="ListParagraph"/>
        <w:numPr>
          <w:ilvl w:val="0"/>
          <w:numId w:val="4"/>
        </w:numPr>
        <w:spacing w:before="127" w:after="0"/>
        <w:ind w:left="709" w:hanging="425"/>
        <w:rPr>
          <w:spacing w:val="-5"/>
          <w:u w:val="single"/>
        </w:rPr>
      </w:pPr>
      <w:r>
        <w:rPr>
          <w:b/>
          <w:u w:val="single"/>
        </w:rPr>
        <w:t>Zakres opcjonalny zamówienia: Przeprowadzenie szkoleń w zakresie opracowanych specjalistycznych programów diagnozy i leczenia zaburzeń psychicznych dla dzieci i młodzieży</w:t>
      </w:r>
      <w:r>
        <w:rPr>
          <w:spacing w:val="-5"/>
          <w:u w:val="single"/>
        </w:rPr>
        <w:t>:</w:t>
      </w:r>
    </w:p>
    <w:p>
      <w:pPr>
        <w:pStyle w:val="ListParagraph"/>
        <w:spacing w:lineRule="auto" w:line="360" w:before="240" w:after="0"/>
        <w:ind w:left="709" w:hanging="0"/>
        <w:rPr>
          <w:spacing w:val="-5"/>
        </w:rPr>
      </w:pPr>
      <w:r>
        <w:rPr/>
        <w:t>Obok wskazanego w pkt I OPZ zakresu podstawowego zamówienia, Zamawiający przewiduje                       i zastrzega sobie możliwość rozszerzenia przedmiotu zamówienia – w ramach prawa opcji - dodatkowo o wykonanie usługi, obejmującej przeprowadzenie szkoleń w zakresie specjalistycznych programów diagnozy i leczenia zaburzeń psychicznych dla dzieci i młodzieży, opracowanych w ramach projektu</w:t>
      </w:r>
      <w:r>
        <w:rPr>
          <w:spacing w:val="-7"/>
        </w:rPr>
        <w:t xml:space="preserve"> pn. </w:t>
      </w:r>
      <w:r>
        <w:rPr/>
        <w:t>„Opracowanie i realizacja specjalistycznych programów diagnozy i leczenia zaburzeń psychicznych”, zgodnie z zakresem wskazanym poniżej oraz w pkt 6 Opisu przedmiotu zamówienia:</w:t>
      </w:r>
    </w:p>
    <w:p>
      <w:pPr>
        <w:pStyle w:val="ListParagraph"/>
        <w:spacing w:before="127" w:after="0"/>
        <w:ind w:left="1402" w:hanging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38" w:leader="none"/>
        </w:tabs>
        <w:spacing w:lineRule="auto" w:line="360"/>
        <w:rPr/>
      </w:pPr>
      <w:r>
        <w:rPr>
          <w:b/>
        </w:rPr>
        <w:t>przygotowanie ramowych programów szkoleń</w:t>
      </w:r>
      <w:r>
        <w:rPr/>
        <w:t xml:space="preserve"> 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hanging="0"/>
        <w:rPr/>
      </w:pPr>
      <w:r>
        <w:rPr/>
        <w:t>Eksperci/Ekspertki napiszą ramowe programy szkoleń dla personelu zaangażowanego w wdrażanie programów specjalistycznych (w szczególności lekarze i lekarki specjaliści psychiatrzy/psychiatrzy DiM i innych specjaliz. oraz lekarze i lekarki w trakcie specjalizacji, psycholodzy i psycholożki, psychoterapeuci i psychoterapeutki, pielęgniarze i pielęgniarki, uczestniczący we wdrażaniu procedur, wypracowanych i opisanych w programach specjalistycznych, do praktyki diagnostycznej i leczniczej) w oparciu o przygotowane uprzednio założenia merytoryczne szkoleń, przekazane przez Zamawiającego. Ramowy program szkolenia powinien uwzględniać poniższe warunki organizacyjne:</w:t>
      </w:r>
    </w:p>
    <w:tbl>
      <w:tblPr>
        <w:tblW w:w="10490" w:type="dxa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418"/>
        <w:gridCol w:w="1134"/>
        <w:gridCol w:w="2403"/>
        <w:gridCol w:w="3551"/>
        <w:gridCol w:w="1984"/>
      </w:tblGrid>
      <w:tr>
        <w:trPr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liczba grup Uczestników dla których planuje się przeprowadzenie szkolenia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Liczebność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1 grupy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wymiar szkolenia/1 grupa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Zakres tematyczny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osoby prowadzące  szkolenie</w:t>
            </w:r>
          </w:p>
        </w:tc>
      </w:tr>
      <w:tr>
        <w:trPr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40 osób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25" w:leader="none"/>
              </w:tabs>
              <w:suppressAutoHyphens w:val="true"/>
              <w:ind w:left="87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24h dydaktyczne (3 dni szkoleniowe)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120" w:leader="none"/>
                <w:tab w:val="left" w:pos="225" w:leader="none"/>
              </w:tabs>
              <w:suppressAutoHyphens w:val="true"/>
              <w:ind w:left="87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test sprawdzający wiedzę  uczestników po zakończeniu szkolenia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  <w:t>specjalistyczne programy diagnozy i leczenia zaburzeń psychicznych dla dzieci i młodzieży opracowane w ramach Projektu</w:t>
            </w:r>
            <w:r>
              <w:rPr>
                <w:sz w:val="16"/>
                <w:szCs w:val="16"/>
                <w:shd w:fill="auto" w:val="clear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suppressAutoHyphens w:val="true"/>
              <w:bidi w:val="0"/>
              <w:spacing w:before="0" w:after="0"/>
              <w:ind w:left="227" w:right="0" w:hanging="170"/>
              <w:jc w:val="left"/>
              <w:rPr>
                <w:highlight w:val="none"/>
                <w:shd w:fill="auto" w:val="clear"/>
              </w:rPr>
            </w:pPr>
            <w:r>
              <w:rPr>
                <w:rFonts w:ascii="Palatino Linotype" w:hAnsi="Palatino Linotype"/>
                <w:sz w:val="16"/>
                <w:szCs w:val="16"/>
                <w:shd w:fill="auto" w:val="clear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specjalist. dla młodzieży z podwójną diagnozą;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ze spektrum autyzmu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obsesyjno-kompulsywnych (OCD, ang. obsessive-compulsive disorder)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 i leczenie choroby afektywnej dwubiegunowej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nieprawidłowo kształtującej się osobowości u młodzieży;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afektywnych (w tym subklinicznych i lekoopornych)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psychotycznych (w szczególności: diagnoza różnicowa objawów podobnych do psychotycznych (PLE), stanów ryzyka psychozy oraz pierwszych epizodów psychotycznych, metody postępowania w zaburzeniach lekoopornych)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zespołu nadpobudliwości ruchowej z deficytem uwagi u DiM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depresyjnych i somatyzacyjnych (w tym zaburzeń nerwicowych, behawioralnych, psychosomatycznych)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niezgodności płciowej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odżywiania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uzależnień behawioralnych u DiM;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uzależnienia od nikotyny u młodzieży;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uzależnień od substancji psychoaktywnych (SPA) u młodzieży;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LineNumbers/>
              <w:tabs>
                <w:tab w:val="clear" w:pos="720"/>
                <w:tab w:val="left" w:pos="345" w:leader="none"/>
              </w:tabs>
              <w:suppressAutoHyphens w:val="true"/>
              <w:bidi w:val="0"/>
              <w:spacing w:before="0" w:after="0"/>
              <w:ind w:left="397" w:right="0" w:hanging="283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psych. u DiM ze współchorobowością somatyczną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rFonts w:ascii="Palatino Linotype" w:hAnsi="Palatino Linotype" w:eastAsia="Times New Roman" w:cs="Palatino Linotype"/>
                <w:b/>
                <w:b/>
                <w:sz w:val="16"/>
                <w:szCs w:val="16"/>
                <w:highlight w:val="none"/>
                <w:shd w:fill="auto" w:val="clear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  <w:t>1) omówienie programów, ich celu, zakresu i sposobu wdrażania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, w szczególności: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 omówienie problemu zdrowotnego, do którego odnosi się program, kryteriów diagnostycznych (ICD-10, ICD-11), epidemiologia, psychopatologia, diagnostyka różnicowa charakterystyczne dla danego problemu zdrowotnego,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omówienie ścieżki pacjenta uczestniczącego w programie, procedur,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kryteria włączenia i wyłączenia do programu,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dokumentacja programu (zgody na udział w projekcie, ankiety, skale diagnostyczne itp.)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zasady prawidłowego prowadzenia dokumentacji pacjentów uczestniczących w programie,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sposób monitorowania i ewaluacji danego programu,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zagadnienia związane z diagnozą, sposobem przeprowadzenia wywiadu, zasady obserwacji pacjenta, narzędzia diagnostyczne ujęte w programie (w tym diagnostyki obrazowej, laboratoryjnej, neuropsychologicznej, stosowane metody terapeutyczne)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  <w:t>2) komponent dotyczący równości płci w procesie diagnostycznym i terapeutycznym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(uświadomienie uczestników szkolenia, jak różnice płci mogą wpływać na zdrowia psychiczne, jak własne uprzedzenia i stereotypy mogą wpływać na praktykę diagnostyczną i leczniczą)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both"/>
              <w:rPr>
                <w:rFonts w:ascii="Palatino Linotype" w:hAnsi="Palatino Linotype" w:eastAsia="Times New Roman" w:cs="Palatino Linotype"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Eksperci/Ekspertki biorący udział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w opracowaniu programów</w:t>
            </w:r>
          </w:p>
        </w:tc>
      </w:tr>
    </w:tbl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hanging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65" w:right="776" w:hanging="307"/>
        <w:rPr>
          <w:b/>
          <w:b/>
        </w:rPr>
      </w:pPr>
      <w:r>
        <w:rPr>
          <w:b/>
        </w:rPr>
        <w:t xml:space="preserve">przygotowanie i </w:t>
      </w:r>
      <w:r>
        <w:rPr>
          <w:b/>
          <w:spacing w:val="-2"/>
        </w:rPr>
        <w:t>przeprowadzenie</w:t>
      </w:r>
      <w:r>
        <w:rPr>
          <w:b/>
        </w:rPr>
        <w:t xml:space="preserve"> </w:t>
      </w:r>
      <w:r>
        <w:rPr>
          <w:b/>
          <w:spacing w:val="-2"/>
        </w:rPr>
        <w:t>szkoleń</w:t>
      </w:r>
      <w:r>
        <w:rPr>
          <w:b/>
        </w:rPr>
        <w:t xml:space="preserve"> </w:t>
      </w:r>
      <w:r>
        <w:rPr>
          <w:b/>
          <w:spacing w:val="-2"/>
        </w:rPr>
        <w:t>dotyczących</w:t>
      </w:r>
      <w:r>
        <w:rPr>
          <w:b/>
        </w:rPr>
        <w:t xml:space="preserve"> </w:t>
      </w:r>
      <w:r>
        <w:rPr>
          <w:b/>
          <w:spacing w:val="-2"/>
        </w:rPr>
        <w:t>specjalistycznych programów diagnozy i leczenia zaburzeń psychicznych dla dzieci i młodzieży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 xml:space="preserve">Osoby wyznaczone do realizacji zamówienia (Eksperci/Ekspertki): 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spacing w:lineRule="auto" w:line="360"/>
        <w:ind w:left="1560" w:right="776" w:hanging="284"/>
        <w:rPr/>
      </w:pPr>
      <w:r>
        <w:rPr/>
        <w:t>przygotują i przeprowadzą szkolenia dla personelu zaangażowanego w wdrażanie pro</w:t>
      </w:r>
      <w:r>
        <w:rPr>
          <w:shd w:fill="auto" w:val="clear"/>
        </w:rPr>
        <w:t>gramów specjalistycznych (w szczególności: lekarze i lekarki specjaliści psychiatrzy/psychiatrzy DiM i innych specjaliz. oraz lekarze i lekarki w trakcie specjalizacji, psycholodzy i psycholożki, psychoterapeuci i psychoterapeutki, pielęgniarze i pielęgniarki, uczest</w:t>
      </w:r>
      <w:r>
        <w:rPr/>
        <w:t>niczący we wdrażaniu procedur, wypracowanych i opisanych w programach specjalistycznych, do praktyki diagnostycznej i leczniczej), dotyczące specjalistycznych  programów diagnozy i leczenia zaburzeń psychicznych dla dzieci i młodzieży, opracowanych w ramach projektu</w:t>
      </w:r>
      <w:r>
        <w:rPr>
          <w:spacing w:val="-7"/>
        </w:rPr>
        <w:t xml:space="preserve"> pn. </w:t>
      </w:r>
      <w:r>
        <w:rPr/>
        <w:t xml:space="preserve">„Opracowanie i realizacja specjalistycznych programów diagnozy i leczenia zaburzeń psychicznych” </w:t>
      </w:r>
      <w:bookmarkStart w:id="0" w:name="_GoBack"/>
      <w:bookmarkEnd w:id="0"/>
      <w:r>
        <w:rPr/>
        <w:t>(tj. programów wytworzonych w ramach przedmiotowego zamówienia i/lub innych programów opracowanych w ramach Projektu), w oparciu o przygotowane uprzednio założenia merytoryczne szkolenia, przekazane przez Zamawiającego oraz ramowe programy szkolenia,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spacing w:lineRule="auto" w:line="360"/>
        <w:ind w:left="1560" w:right="776" w:hanging="284"/>
        <w:rPr/>
      </w:pPr>
      <w:r>
        <w:rPr/>
        <w:t>opracują i udostępnią uczestnikom szkolenia materiały dydaktyczne, wytworzone samodzielnie na potrzeby realizacji zamówienia (prezentacje, skrypty szkoleniowe). Szkolenie zostanie przeprowadzone z wykorzystaniem powyższych materiałów pozwalających na uszczegółowienie i rozwinięcie treści objętych programem szkolenia,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76" w:leader="none"/>
        </w:tabs>
        <w:spacing w:lineRule="auto" w:line="360"/>
        <w:ind w:left="1560" w:right="776" w:hanging="284"/>
        <w:rPr/>
      </w:pPr>
      <w:r>
        <w:rPr/>
        <w:t>opracują i przeprowadzą pisemny test sprawdzający wiedzę uczestników po zakończeniu szkolenia;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Czas trwania zajęć w ramach szkolenia liczony jest w godzinach dydaktycznych. Jedna godzina dydaktyczna odpowiada 45 minutom zegarowym.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Obszar, na terenie którego prowadzone będą szkolenia, może obejmować następujące szczegółowe lokalizacje: m. Łódź, ewentualnie inne – jeśli wymagać tego będzie prawidłowa realizacja projektu.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Zamawiający udostępni osobie wyznaczonej do realizacji zamówienia na czas prowadzenia szkolenia narzędzia dydaktyczne znajdujące się w sali konferencyjnej, tj. laptop, rzutnik, tablica typu flipchart lub suchościeralna.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Osoby wyznaczone do realizacji zamówienia (Eksperci/Ekspertki) przeprowadzą szkolenia zgodnie z określoną tematyką, w miejscu, terminie i czasie wskazanym w harmonogramie realizacji szkolenia, a także prowadzić będą listy obecności Uczestników na szkoleniu. Osoba wyznaczona do realizacji zamówienia zobowiązana jest do złożenia podpisu na liście obecności.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Grupa docelowa i liczebność grup szkoleniowych: zgodnie z informacją zawartą w pkt 1).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Sposób sprawdzenia efektów szkolenia z uwzględnieniem warunków zaliczenia szkolenia: warunkiem ukończenia szkolenia przez Uczestnika jest obecność na zajęciach oraz pozytywny wynik testu pisemnego, weryfikowane przez osobę prowadzącą szkolenie (Eksperta/Ekspertkę). Należy wystawić indywidualnie dla każdego uczestnika szkolenia zaświadczenie potwierdzające ukończenie szkolenia.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Materiały dydaktyczne wytworzone samodzielnie przez osoby wyznaczone do realizacji zamówienia (Ekspertów), związane z prowadzonym szkoleniem (prezentacje, skrypt), które pełnić będą funkcję pomocniczą przy prowadzeniu zajęć, należy: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276" w:leader="none"/>
        </w:tabs>
        <w:spacing w:lineRule="auto" w:line="360"/>
        <w:ind w:left="1418" w:right="776" w:hanging="142"/>
        <w:rPr/>
      </w:pPr>
      <w:r>
        <w:rPr/>
        <w:t>oznakować odpowiednio – poprzez zamieszczenie co najmniej na pierwszym i ostatnim slajdzie/oknie/stronie dokumentu odpowiednich logotypów, w szczególności znaku Funduszy Europejskich, barw Rzeczypospolitej Polskiej, znaku Unii Europejskiej oraz informacji, że szkolenie realizowane jest w ramach projektu współfinansowanego przez Unię Europejską.</w:t>
      </w:r>
      <w:r>
        <w:rPr>
          <w:color w:val="0C0C0C"/>
        </w:rPr>
        <w:t xml:space="preserve"> Powyższe oznaczenia będą odpowiadać Zasadom promocji i oznakowania projektów w Programie.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276" w:leader="none"/>
        </w:tabs>
        <w:spacing w:lineRule="auto" w:line="360"/>
        <w:ind w:left="1418" w:right="776" w:hanging="142"/>
        <w:rPr/>
      </w:pPr>
      <w:r>
        <w:rPr/>
        <w:t>przekazać Zamawiającemu najpóźniej w dniu rozpoczęcia szkolenia – w formie elektronicznej za pośrednictwem poczty elektronicznej lub na nośniku elektronicznym. Materiały te zostaną udostępnione Uczestnikom szkolenia w formie elektronicznej.</w:t>
      </w:r>
      <w:r>
        <w:rPr>
          <w:color w:val="0C0C0C"/>
        </w:rPr>
        <w:t xml:space="preserve"> Wersja elektroniczna będzie przygotowana zgodnie z wytycznymi dotyczącymi dostępności treści internetowych. Dokument powinien być przystosowany do standardu WCAG 2.1, zgod</w:t>
      </w:r>
      <w:r>
        <w:rPr>
          <w:color w:val="0C0C0C"/>
          <w:shd w:fill="auto" w:val="clear"/>
        </w:rPr>
        <w:t>nie  z ustawą z dnia 4 kwietnia 2019 r.o dostępności cyfrowej stron internetowych i aplikacji mobilnych podmiotów publicznych, Rozporządzeniem Rady Ministrów z dnia 21 maja 2024 r. w sprawie Krajowych Ram Interoperacyjności, minimalnych w</w:t>
      </w:r>
      <w:r>
        <w:rPr>
          <w:color w:val="0C0C0C"/>
        </w:rPr>
        <w:t>ymagań dla rejestrów publicznych i wymiany informacji w postaci elektronicznej oraz minimalnych wymagań dla systemów teleinformatycznych (Dz. U. z 2024 r. poz. 773).</w:t>
      </w:r>
      <w:r>
        <w:rPr>
          <w:sz w:val="24"/>
        </w:rPr>
        <w:t xml:space="preserve"> </w:t>
      </w:r>
      <w:r>
        <w:rPr/>
        <w:t xml:space="preserve">Należy zapewnić dostępność produktu zgodnie ze standardem szkoleniowym, informacyjno – promocyjnym, cyfrowym (Standardy dostępności dla polityki spójności 2021-2027), w szczególności przygotowanie w wersji dla osób niedowidzących i słabowidzących (duża czcionka), w języku czułym na płeć, języku łatwym w odbiorze itp. 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965" w:right="776" w:hanging="325"/>
        <w:rPr/>
      </w:pPr>
      <w:r>
        <w:rPr/>
        <w:t xml:space="preserve">Szkolenia zostaną nagrane i utrwalone w wersji plików video oraz zamieszczone na stronie internetowej projektu w okresie 5 lat po zakończeniu realizacji projektu. 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965" w:right="776" w:hanging="325"/>
        <w:rPr>
          <w:b/>
          <w:b/>
        </w:rPr>
      </w:pPr>
      <w:r>
        <w:rPr>
          <w:b/>
        </w:rPr>
        <w:t>Harmonogram realizacji szkoleń: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276" w:leader="none"/>
        </w:tabs>
        <w:spacing w:lineRule="auto" w:line="360"/>
        <w:ind w:left="1685" w:right="776" w:hanging="360"/>
        <w:rPr/>
      </w:pPr>
      <w:r>
        <w:rPr/>
        <w:t>zajęcia dydaktyczne realizowane będą wg harmonogramu realizacji szkolenia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276" w:leader="none"/>
        </w:tabs>
        <w:spacing w:lineRule="auto" w:line="360"/>
        <w:ind w:left="1685" w:right="776" w:hanging="360"/>
        <w:rPr/>
      </w:pPr>
      <w:r>
        <w:rPr/>
        <w:t xml:space="preserve">szkolenia organizowane będą w formule stacjonarnej, w dni robocze w przedziale czasowym między ok. 08.00-20:00. Dopuszczalne jest również, za zgodą Zamawiającego, prowadzenie zajęć w systemie weekendowym soboty/niedziele – za zgodą Zamawiającego, jeżeli wymagać tego będzie prawidłowa realizacja projektu. 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276" w:leader="none"/>
        </w:tabs>
        <w:spacing w:lineRule="auto" w:line="360"/>
        <w:ind w:left="1685" w:right="776" w:hanging="360"/>
        <w:rPr/>
      </w:pPr>
      <w:r>
        <w:rPr/>
        <w:t>w wyjątkowych sytuacjach, w szczególności w związku z obowiązywaniem stanu zagrożenia epidemicznego, Zamawiający może w uzgodnieniu z Wykonawcą dokonać zmiany terminu i/lub formy przeprowadzenia zajęć. Zamawiający może polecić przeprowadzenie zajęć w formie on-line.</w:t>
      </w:r>
    </w:p>
    <w:p>
      <w:pPr>
        <w:pStyle w:val="ListParagraph"/>
        <w:numPr>
          <w:ilvl w:val="1"/>
          <w:numId w:val="3"/>
        </w:numPr>
        <w:spacing w:lineRule="auto" w:line="360"/>
        <w:rPr>
          <w:b/>
          <w:b/>
        </w:rPr>
      </w:pPr>
      <w:r>
        <w:rPr>
          <w:b/>
        </w:rPr>
        <w:t>Ewaluacja przeprowadzonych zajęć</w:t>
      </w:r>
    </w:p>
    <w:p>
      <w:pPr>
        <w:pStyle w:val="ListParagraph"/>
        <w:spacing w:lineRule="auto" w:line="360"/>
        <w:ind w:left="964" w:right="611" w:hanging="0"/>
        <w:rPr/>
      </w:pPr>
      <w:r>
        <w:rPr/>
        <w:t>przeprowadzone zajęcia zostaną poddane ewaluacji, obejmującej w szczególności zebranie od uczestników szkolenia informacji, umożliwiających ocenę przydatności i skuteczności przeprowadzonych szkoleń z punktu widzenia założonych przez Zamawiającego celów i rezultatów oczekiwanych przez uczestników, poprzez udzielenie anonimowo odpowiedzi na pytania zawarte w ankietach, przekazanych do wypełnienia uczestnikom na zakończenie szkolenia, a to w celu doskonalenia działań szkoleniowych.</w:t>
      </w:r>
    </w:p>
    <w:p>
      <w:pPr>
        <w:pStyle w:val="ListParagraph"/>
        <w:spacing w:lineRule="auto" w:line="360"/>
        <w:ind w:left="964" w:right="611" w:hanging="0"/>
        <w:rPr/>
      </w:pPr>
      <w:r>
        <w:rPr/>
        <w:t>Uwagi dotyczące treści lub sposobu prowadzenia zajęć, wskazane przez przedstawiciela Zamawiającego jako konieczne do uwzględnienia, Osoba wyznaczona do realizacji zamówienia (Ekspert/Ekspertka) zobowiązany jest uwzględnić przy prowadzeniu kolejnych zajęć.</w:t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firstLine="567"/>
        <w:rPr/>
      </w:pPr>
      <w:r>
        <w:rPr/>
        <w:t>Niniejsze stanowi zakres opcjonalny zamówienia.</w:t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firstLine="567"/>
        <w:rPr/>
      </w:pPr>
      <w:r>
        <w:rPr/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firstLine="567"/>
        <w:rPr>
          <w:b/>
          <w:b/>
        </w:rPr>
      </w:pPr>
      <w:r>
        <w:rPr>
          <w:b/>
        </w:rPr>
        <w:t>Informacje dotyczące zastrzeżonego prawa opcji: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 xml:space="preserve">prawo opcji (zakres opcjonalny zamówienia) nie stanowi zobowiązania umownego (w tym finansowego) Zamawiającego w momencie zawarcia umowy w sprawie zamówienia, a przewidywany zakres opcjonalny zamówienia nie jest gwarantowany do realizacji. Zastrzeżone prawo opcji jest jednostronnym uprawnieniem Zamawiającego, z którego Zamawiający może, ale nie ma obowiązku skorzystać w ramach realizacji przedmiotu zamówienia. 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 xml:space="preserve">powyżej określony zakres objęty prawem opcji (zakres opcjonalny zamówienia) przewidziany zostaje na okoliczność zaistnienia stosownych potrzeb Zamawiającego, pod warunkiem posiadania środków finansowych przez Zamawiającego. Zamawiający podejmie decyzję, co do możliwości i woli skorzystania z zastrzeżonego prawa opcji zgodnie z zapotrzebowaniem. W przypadku nie skorzystania przez Zamawiającego z prawa opcji, Wykonawcy nie przysługują żadne roszczenia z tego tytułu. 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>wskazany wyżej zakres opcjonalny stanowi maksymalny zakres zastrzeganego prawa opcji. Prawo opcji może być realizowane przez Zamawiającego etapowo / częściowo / fragmentarycznie w okresie i na warunkach wskazanych w Opisie przedmiotu zamówienia oraz wzorze umowy, stanowiącym załącznik do SWZ. W przypadku nieskorzystania przez Zamawiającego z prawa opcji w całości, Wykonawcy przysługiwać będzie wynagrodzenie jedynie za zakres usług zleconych przez Zamawiającego w składanym przez niego oświadczeniu/oświadczeniach o skorzystaniu z prawa opcji. Zamawiający ma prawo wielokrotnie korzystać z prawa opcji – jednak do wyczerpania maksymalnego zakresu prawa opcji, wskazanego w pkt 6 Opisu przedmiotu zamówienia.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 xml:space="preserve">jeżeli Zamawiający skorzysta z prawa opcji, wówczas obowiązkiem umownym Wykonawcy jest wykonanie świadczenia w zakresie objętym wykorzystanym prawem opcji. Wykonawca jest zobowiązany do realizacji usług w ramach zastrzeżonego prawa opcji w przypadku i w zakresie, w jakim korzysta z niego Zamawiający – zgodnie z treścią oświadczenia Zamawiającego o skorzystaniu z prawa opcji i warunkami określonymi w SWZ wraz z załącznikami. 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>w celu uruchomienia prawa opcji Zamawiający złoży Wykonawcy pisemne oświadczenie w przedmiocie skorzystania z opcji w określonym zakresie. W momencie złożenia przez Zamawiającego oświadczenia o skorzystaniu z prawa opcji następuje zaciągnięcie zobowiązania finansowego w wysokości wynikającej z zakresu usługi, objętego realizowaną na mocy danego oświadczenia opcją.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720" w:right="776" w:hanging="153"/>
        <w:rPr/>
      </w:pPr>
      <w:r>
        <w:rPr/>
        <w:t>uruchomienie prawa opcji nie stanowi zmiany umowy.</w:t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hanging="0"/>
        <w:jc w:val="both"/>
        <w:rPr/>
      </w:pPr>
      <w:r>
        <w:rPr/>
      </w:r>
    </w:p>
    <w:p>
      <w:pPr>
        <w:pStyle w:val="ListParagraph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64" w:right="776" w:hanging="0"/>
        <w:rPr/>
      </w:pPr>
      <w:r>
        <w:rPr/>
      </w:r>
    </w:p>
    <w:p>
      <w:pPr>
        <w:pStyle w:val="Tretekstu"/>
        <w:spacing w:lineRule="auto" w:line="360" w:before="126" w:after="0"/>
        <w:ind w:left="1391" w:right="2789" w:hanging="0"/>
        <w:jc w:val="left"/>
        <w:rPr>
          <w:b/>
          <w:b/>
        </w:rPr>
      </w:pPr>
      <w:r>
        <w:rPr/>
      </w:r>
    </w:p>
    <w:sectPr>
      <w:headerReference w:type="default" r:id="rId2"/>
      <w:type w:val="nextPage"/>
      <w:pgSz w:w="11906" w:h="16838"/>
      <w:pgMar w:left="1020" w:right="640" w:gutter="0" w:header="0" w:top="820" w:footer="0" w:bottom="9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6084570" cy="781050"/>
          <wp:effectExtent l="0" t="0" r="0" b="0"/>
          <wp:docPr id="1" name="Obraz 1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ERS_RP_UE_RGB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360"/>
        </w:tabs>
        <w:ind w:left="0" w:hanging="0"/>
      </w:pPr>
      <w:rPr>
        <w:b w:val="false"/>
        <w:rFonts w:ascii="Arial" w:hAnsi="Arial" w:eastAsia="Arial" w:cs="Arial"/>
        <w:lang w:val="pl-PL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bullet"/>
      <w:lvlText w:val=""/>
      <w:lvlJc w:val="left"/>
      <w:pPr>
        <w:tabs>
          <w:tab w:val="num" w:pos="0"/>
        </w:tabs>
        <w:ind w:left="1112" w:hanging="357"/>
      </w:pPr>
      <w:rPr>
        <w:rFonts w:ascii="Symbol" w:hAnsi="Symbol" w:cs="Symbol" w:hint="default"/>
        <w:sz w:val="22"/>
        <w:spacing w:val="0"/>
        <w:i w:val="false"/>
        <w:b w:val="false"/>
        <w:szCs w:val="22"/>
        <w:iCs w:val="false"/>
        <w:bCs w:val="false"/>
        <w:w w:val="100"/>
        <w:color w:val="0C0C0C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0" w:hanging="35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80" w:hanging="35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7" w:hanging="35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35" w:hanging="35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63" w:hanging="35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90" w:hanging="357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65" w:hanging="307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8" w:hanging="307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7" w:hanging="307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5" w:hanging="30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4" w:hanging="30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3" w:hanging="30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31" w:hanging="30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0" w:hanging="30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8" w:hanging="307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682" w:hanging="284"/>
      </w:pPr>
      <w:rPr>
        <w:sz w:val="22"/>
        <w:spacing w:val="-1"/>
        <w:i w:val="false"/>
        <w:b w:val="false"/>
        <w:szCs w:val="22"/>
        <w:iCs w:val="false"/>
        <w:bCs w:val="false"/>
        <w:w w:val="100"/>
        <w:rFonts w:ascii="Arial" w:hAnsi="Arial" w:eastAsia="Arial" w:cs="Arial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65" w:hanging="325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Arial" w:hAnsi="Arial" w:eastAsia="Arial" w:cs="Arial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91" w:hanging="3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23" w:hanging="3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5" w:hanging="3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7" w:hanging="3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8" w:hanging="3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0" w:hanging="3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2" w:hanging="325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1430" w:hanging="720"/>
      </w:pPr>
      <w:rPr>
        <w:u w:val="singl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  <w:rPr/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1324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4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8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0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92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4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6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84" w:hanging="180"/>
      </w:pPr>
      <w:rPr/>
    </w:lvl>
  </w:abstractNum>
  <w:abstractNum w:abstractNumId="10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20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2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16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45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"/>
      <w:lvlJc w:val="left"/>
      <w:pPr>
        <w:tabs>
          <w:tab w:val="num" w:pos="0"/>
        </w:tabs>
        <w:ind w:left="171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  <w:rFonts w:ascii="Palatino Linotype" w:hAnsi="Palatino Linotyp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4758e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11078"/>
    <w:rPr>
      <w:rFonts w:ascii="Tahoma" w:hAnsi="Tahoma" w:eastAsia="Arial" w:cs="Tahoma"/>
      <w:sz w:val="16"/>
      <w:szCs w:val="16"/>
      <w:lang w:val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4e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b154e2"/>
    <w:rPr>
      <w:rFonts w:ascii="Arial" w:hAnsi="Arial" w:eastAsia="Arial" w:cs="Arial"/>
      <w:sz w:val="20"/>
      <w:szCs w:val="20"/>
      <w:lang w:val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b154e2"/>
    <w:rPr>
      <w:rFonts w:ascii="Arial" w:hAnsi="Arial" w:eastAsia="Arial" w:cs="Arial"/>
      <w:b/>
      <w:bCs/>
      <w:sz w:val="20"/>
      <w:szCs w:val="20"/>
      <w:lang w:val="pl-PL"/>
    </w:rPr>
  </w:style>
  <w:style w:type="character" w:styleId="NagwekZnak" w:customStyle="1">
    <w:name w:val="Nagłówek Znak"/>
    <w:basedOn w:val="DefaultParagraphFont"/>
    <w:uiPriority w:val="99"/>
    <w:qFormat/>
    <w:rsid w:val="00532876"/>
    <w:rPr>
      <w:rFonts w:ascii="Arial" w:hAnsi="Arial" w:eastAsia="Arial" w:cs="Arial"/>
      <w:lang w:val="pl-PL"/>
    </w:rPr>
  </w:style>
  <w:style w:type="character" w:styleId="StopkaZnak" w:customStyle="1">
    <w:name w:val="Stopka Znak"/>
    <w:basedOn w:val="DefaultParagraphFont"/>
    <w:uiPriority w:val="99"/>
    <w:qFormat/>
    <w:rsid w:val="00532876"/>
    <w:rPr>
      <w:rFonts w:ascii="Arial" w:hAnsi="Arial" w:eastAsia="Arial" w:cs="Arial"/>
      <w:lang w:val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1"/>
    <w:qFormat/>
    <w:pPr>
      <w:jc w:val="both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758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11078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154e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154e2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32876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532876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80c8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EE079-3D9A-4B86-9E57-38688C89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Application>LibreOffice/7.4.3.2$Windows_X86_64 LibreOffice_project/1048a8393ae2eeec98dff31b5c133c5f1d08b890</Application>
  <AppVersion>15.0000</AppVersion>
  <Pages>12</Pages>
  <Words>3993</Words>
  <Characters>28709</Characters>
  <CharactersWithSpaces>32502</CharactersWithSpaces>
  <Paragraphs>216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2024-11-12T14:28:00Z</dcterms:created>
  <dc:creator>Porębska Dorota</dc:creator>
  <dc:description/>
  <dc:language>pl-PL</dc:language>
  <cp:lastModifiedBy/>
  <dcterms:modified xsi:type="dcterms:W3CDTF">2025-03-06T12:03:36Z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2024-10-10T00:00:00Z</vt:filetime>
  </property>
  <property fmtid="{D5CDD505-2E9C-101B-9397-08002B2CF9AE}" pid="5" name="Producer">
    <vt:lpwstr>Aspose.Words for .NET 16.1.0.0</vt:lpwstr>
  </property>
</Properties>
</file>