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31" w:rsidRPr="006352C7" w:rsidRDefault="006A5031" w:rsidP="006A5031">
      <w:pPr>
        <w:jc w:val="right"/>
        <w:rPr>
          <w:rFonts w:ascii="Times New Roman" w:hAnsi="Times New Roman" w:cs="Times New Roman"/>
        </w:rPr>
      </w:pPr>
      <w:r w:rsidRPr="006352C7">
        <w:rPr>
          <w:rFonts w:ascii="Times New Roman" w:hAnsi="Times New Roman" w:cs="Times New Roman"/>
        </w:rPr>
        <w:t>Załącznik nr 9 do SWZ</w:t>
      </w:r>
    </w:p>
    <w:p w:rsidR="006A5031" w:rsidRPr="006352C7" w:rsidRDefault="006A5031" w:rsidP="006A5031">
      <w:pPr>
        <w:jc w:val="center"/>
        <w:rPr>
          <w:rFonts w:ascii="Times New Roman" w:hAnsi="Times New Roman" w:cs="Times New Roman"/>
        </w:rPr>
      </w:pPr>
    </w:p>
    <w:p w:rsidR="006A5031" w:rsidRPr="006352C7" w:rsidRDefault="006A5031" w:rsidP="006A5031">
      <w:pPr>
        <w:jc w:val="center"/>
        <w:rPr>
          <w:rFonts w:ascii="Times New Roman" w:hAnsi="Times New Roman" w:cs="Times New Roman"/>
          <w:b/>
          <w:bCs/>
        </w:rPr>
      </w:pPr>
      <w:r w:rsidRPr="006352C7">
        <w:rPr>
          <w:rFonts w:ascii="Times New Roman" w:hAnsi="Times New Roman" w:cs="Times New Roman"/>
          <w:b/>
          <w:bCs/>
        </w:rPr>
        <w:t>OPIS PRZEDMIOTU ZAMÓW</w:t>
      </w:r>
      <w:r w:rsidR="001C5396" w:rsidRPr="006352C7">
        <w:rPr>
          <w:rFonts w:ascii="Times New Roman" w:hAnsi="Times New Roman" w:cs="Times New Roman"/>
          <w:b/>
          <w:bCs/>
        </w:rPr>
        <w:t>I</w:t>
      </w:r>
      <w:r w:rsidRPr="006352C7">
        <w:rPr>
          <w:rFonts w:ascii="Times New Roman" w:hAnsi="Times New Roman" w:cs="Times New Roman"/>
          <w:b/>
          <w:bCs/>
        </w:rPr>
        <w:t>ENIA</w:t>
      </w:r>
    </w:p>
    <w:p w:rsidR="006A5031" w:rsidRPr="006352C7" w:rsidRDefault="006A5031" w:rsidP="006A5031">
      <w:pPr>
        <w:jc w:val="center"/>
        <w:rPr>
          <w:rFonts w:ascii="Times New Roman" w:hAnsi="Times New Roman" w:cs="Times New Roman"/>
          <w:b/>
          <w:bCs/>
        </w:rPr>
      </w:pPr>
      <w:r w:rsidRPr="006352C7">
        <w:rPr>
          <w:rFonts w:ascii="Times New Roman" w:hAnsi="Times New Roman" w:cs="Times New Roman"/>
          <w:b/>
          <w:bCs/>
        </w:rPr>
        <w:t xml:space="preserve">DOSTAWA 1 SZT. SAMOCHODU ROZPOZNAWCZO-RATOWNICZEGO </w:t>
      </w:r>
      <w:proofErr w:type="spellStart"/>
      <w:r w:rsidR="009B6D15" w:rsidRPr="006352C7">
        <w:rPr>
          <w:rFonts w:ascii="Times New Roman" w:hAnsi="Times New Roman" w:cs="Times New Roman"/>
          <w:b/>
        </w:rPr>
        <w:t>SLRr</w:t>
      </w:r>
      <w:proofErr w:type="spellEnd"/>
      <w:r w:rsidRPr="006352C7">
        <w:rPr>
          <w:rFonts w:ascii="Times New Roman" w:hAnsi="Times New Roman" w:cs="Times New Roman"/>
          <w:b/>
          <w:bCs/>
        </w:rPr>
        <w:t xml:space="preserve"> DO OCHOTNICZEJ STRAŻY POŻARNEJ W BRAŃSKU</w:t>
      </w:r>
    </w:p>
    <w:p w:rsidR="006A5031" w:rsidRPr="006352C7" w:rsidRDefault="006A5031" w:rsidP="006A503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8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3"/>
        <w:gridCol w:w="13465"/>
      </w:tblGrid>
      <w:tr w:rsidR="006A5031" w:rsidRPr="006352C7" w:rsidTr="006A5031">
        <w:trPr>
          <w:tblHeader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031" w:rsidRPr="006352C7" w:rsidRDefault="006A5031" w:rsidP="00D809EE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6352C7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031" w:rsidRPr="006352C7" w:rsidRDefault="006A5031" w:rsidP="00D809EE">
            <w:pPr>
              <w:pStyle w:val="Standard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352C7">
              <w:rPr>
                <w:rFonts w:cs="Times New Roman"/>
                <w:b/>
                <w:bCs/>
              </w:rPr>
              <w:t>Warunki</w:t>
            </w:r>
            <w:r w:rsidRPr="006352C7">
              <w:rPr>
                <w:rFonts w:eastAsia="Times New Roman" w:cs="Times New Roman"/>
                <w:b/>
                <w:bCs/>
              </w:rPr>
              <w:t xml:space="preserve"> </w:t>
            </w:r>
            <w:r w:rsidRPr="006352C7">
              <w:rPr>
                <w:rFonts w:cs="Times New Roman"/>
                <w:b/>
                <w:bCs/>
              </w:rPr>
              <w:t>Zamawiającego</w:t>
            </w:r>
            <w:r w:rsidRPr="006352C7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6A5031" w:rsidRPr="006352C7" w:rsidRDefault="006A5031" w:rsidP="006A5031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031" w:rsidRPr="006352C7" w:rsidRDefault="006A5031" w:rsidP="00D809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6352C7">
              <w:rPr>
                <w:rFonts w:cs="Times New Roman"/>
              </w:rPr>
              <w:t>1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031" w:rsidRPr="006352C7" w:rsidRDefault="006A5031" w:rsidP="00D809EE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6352C7">
              <w:rPr>
                <w:rFonts w:cs="Times New Roman"/>
                <w:b/>
              </w:rPr>
              <w:t>Wymagania</w:t>
            </w:r>
            <w:r w:rsidRPr="006352C7">
              <w:rPr>
                <w:rFonts w:eastAsia="Times New Roman" w:cs="Times New Roman"/>
                <w:b/>
              </w:rPr>
              <w:t xml:space="preserve"> </w:t>
            </w:r>
            <w:r w:rsidRPr="006352C7">
              <w:rPr>
                <w:rFonts w:cs="Times New Roman"/>
                <w:b/>
              </w:rPr>
              <w:t>dla</w:t>
            </w:r>
            <w:r w:rsidRPr="006352C7">
              <w:rPr>
                <w:rFonts w:eastAsia="Times New Roman" w:cs="Times New Roman"/>
                <w:b/>
              </w:rPr>
              <w:t xml:space="preserve"> </w:t>
            </w:r>
            <w:r w:rsidRPr="006352C7">
              <w:rPr>
                <w:rFonts w:cs="Times New Roman"/>
                <w:b/>
              </w:rPr>
              <w:t xml:space="preserve">pojazdu </w:t>
            </w:r>
          </w:p>
        </w:tc>
      </w:tr>
      <w:tr w:rsidR="006A5031" w:rsidRPr="006352C7" w:rsidTr="006A503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Marka, model / typ oferowanego pojazdu</w:t>
            </w:r>
          </w:p>
        </w:tc>
      </w:tr>
      <w:tr w:rsidR="006A5031" w:rsidRPr="006352C7" w:rsidTr="006A503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  <w:color w:val="000000"/>
              </w:rPr>
            </w:pPr>
            <w:r w:rsidRPr="006352C7">
              <w:rPr>
                <w:rFonts w:cs="Times New Roman"/>
                <w:color w:val="000000"/>
              </w:rPr>
              <w:t>Samochód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musi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spełniać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wszystkie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wymagania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polskich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przepisów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o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ruchu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drogowym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z uwzględnieniem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wymagań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dotyczących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pojazdów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uprzywilejowanych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zgodnie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z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ustawą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z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dnia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hyperlink r:id="rId5" w:history="1">
              <w:r w:rsidRPr="006352C7">
                <w:rPr>
                  <w:rStyle w:val="Internetlink"/>
                  <w:rFonts w:cs="Times New Roman"/>
                  <w:color w:val="000000"/>
                </w:rPr>
                <w:t>20</w:t>
              </w:r>
            </w:hyperlink>
            <w:hyperlink r:id="rId6" w:history="1">
              <w:r w:rsidRPr="006352C7">
                <w:rPr>
                  <w:rStyle w:val="Internetlink"/>
                  <w:rFonts w:eastAsia="Times New Roman" w:cs="Times New Roman"/>
                  <w:color w:val="000000"/>
                </w:rPr>
                <w:t xml:space="preserve"> </w:t>
              </w:r>
            </w:hyperlink>
            <w:hyperlink r:id="rId7" w:history="1">
              <w:r w:rsidRPr="006352C7">
                <w:rPr>
                  <w:rStyle w:val="Internetlink"/>
                  <w:rFonts w:cs="Times New Roman"/>
                  <w:color w:val="000000"/>
                </w:rPr>
                <w:t>czerwca</w:t>
              </w:r>
            </w:hyperlink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hyperlink r:id="rId8" w:history="1">
              <w:r w:rsidRPr="006352C7">
                <w:rPr>
                  <w:rStyle w:val="Internetlink"/>
                  <w:rFonts w:cs="Times New Roman"/>
                  <w:color w:val="000000"/>
                </w:rPr>
                <w:t>1997</w:t>
              </w:r>
            </w:hyperlink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r.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Prawo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o ruchu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drogowym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333333"/>
                <w:shd w:val="clear" w:color="auto" w:fill="FFFFFF"/>
              </w:rPr>
              <w:t>(</w:t>
            </w:r>
            <w:proofErr w:type="spellStart"/>
            <w:r w:rsidRPr="006352C7">
              <w:rPr>
                <w:rFonts w:cs="Times New Roman"/>
                <w:color w:val="333333"/>
                <w:shd w:val="clear" w:color="auto" w:fill="FFFFFF"/>
              </w:rPr>
              <w:t>t.j</w:t>
            </w:r>
            <w:proofErr w:type="spellEnd"/>
            <w:r w:rsidRPr="006352C7">
              <w:rPr>
                <w:rFonts w:cs="Times New Roman"/>
                <w:color w:val="333333"/>
                <w:shd w:val="clear" w:color="auto" w:fill="FFFFFF"/>
              </w:rPr>
              <w:t xml:space="preserve">. Dz. U. z 2023 r. poz. 1047 z </w:t>
            </w:r>
            <w:proofErr w:type="spellStart"/>
            <w:r w:rsidRPr="006352C7">
              <w:rPr>
                <w:rFonts w:cs="Times New Roman"/>
                <w:color w:val="333333"/>
                <w:shd w:val="clear" w:color="auto" w:fill="FFFFFF"/>
              </w:rPr>
              <w:t>późn</w:t>
            </w:r>
            <w:proofErr w:type="spellEnd"/>
            <w:r w:rsidRPr="006352C7">
              <w:rPr>
                <w:rFonts w:cs="Times New Roman"/>
                <w:color w:val="333333"/>
                <w:shd w:val="clear" w:color="auto" w:fill="FFFFFF"/>
              </w:rPr>
              <w:t>. zm.).</w:t>
            </w:r>
            <w:r w:rsidRPr="006352C7">
              <w:rPr>
                <w:rFonts w:cs="Times New Roman"/>
                <w:color w:val="000000"/>
              </w:rPr>
              <w:t xml:space="preserve"> wraz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ze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wszystkimi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jej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nowelizacjami.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  <w:color w:val="000000"/>
              </w:rPr>
              <w:t>Oznakowanie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pojazdu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zgodne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z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Zarządzeniem Nr 8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Komendanta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Głównego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PSP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z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dnia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10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kwietnia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2008r.,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z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późniejszymi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zmianami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w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sprawie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gospodarki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transportowej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w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jednostkach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organizacyjnych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color w:val="000000"/>
              </w:rPr>
              <w:t>PSP</w:t>
            </w:r>
            <w:r w:rsidRPr="006352C7">
              <w:rPr>
                <w:rFonts w:eastAsia="Times New Roman" w:cs="Times New Roman"/>
                <w:color w:val="000000"/>
              </w:rPr>
              <w:t xml:space="preserve"> </w:t>
            </w:r>
            <w:r w:rsidRPr="006352C7">
              <w:rPr>
                <w:rFonts w:cs="Times New Roman"/>
                <w:b/>
                <w:color w:val="000000"/>
              </w:rPr>
              <w:t>(numery</w:t>
            </w:r>
            <w:r w:rsidRPr="006352C7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6352C7">
              <w:rPr>
                <w:rFonts w:cs="Times New Roman"/>
                <w:b/>
                <w:color w:val="000000"/>
              </w:rPr>
              <w:t>operacyjne</w:t>
            </w:r>
            <w:r w:rsidRPr="006352C7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6352C7">
              <w:rPr>
                <w:rFonts w:cs="Times New Roman"/>
                <w:b/>
                <w:color w:val="000000"/>
              </w:rPr>
              <w:t>zostaną</w:t>
            </w:r>
            <w:r w:rsidRPr="006352C7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6352C7">
              <w:rPr>
                <w:rFonts w:cs="Times New Roman"/>
                <w:b/>
                <w:color w:val="000000"/>
              </w:rPr>
              <w:t>podane</w:t>
            </w:r>
            <w:r w:rsidRPr="006352C7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6352C7">
              <w:rPr>
                <w:rFonts w:cs="Times New Roman"/>
                <w:b/>
                <w:color w:val="000000"/>
              </w:rPr>
              <w:t>po</w:t>
            </w:r>
            <w:r w:rsidRPr="006352C7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6352C7">
              <w:rPr>
                <w:rFonts w:cs="Times New Roman"/>
                <w:b/>
                <w:color w:val="000000"/>
              </w:rPr>
              <w:t>podpisaniu</w:t>
            </w:r>
            <w:r w:rsidRPr="006352C7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6352C7">
              <w:rPr>
                <w:rFonts w:cs="Times New Roman"/>
                <w:b/>
                <w:color w:val="000000"/>
              </w:rPr>
              <w:t>umowy).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A57EAB">
            <w:pPr>
              <w:widowControl w:val="0"/>
              <w:suppressAutoHyphens/>
              <w:overflowPunct w:val="0"/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6352C7">
              <w:rPr>
                <w:rFonts w:ascii="Times New Roman" w:hAnsi="Times New Roman" w:cs="Times New Roman"/>
                <w:sz w:val="24"/>
                <w:szCs w:val="24"/>
              </w:rPr>
              <w:t xml:space="preserve">W przypadku przekroczenia Maksymalnej Masy Rzeczywistej powyżej </w:t>
            </w:r>
            <w:smartTag w:uri="urn:schemas-microsoft-com:office:smarttags" w:element="metricconverter">
              <w:smartTagPr>
                <w:attr w:name="ProductID" w:val="3 000 kg"/>
              </w:smartTagPr>
              <w:r w:rsidRPr="006352C7">
                <w:rPr>
                  <w:rFonts w:ascii="Times New Roman" w:hAnsi="Times New Roman" w:cs="Times New Roman"/>
                  <w:sz w:val="24"/>
                  <w:szCs w:val="24"/>
                </w:rPr>
                <w:t>3 000 kg</w:t>
              </w:r>
            </w:smartTag>
            <w:r w:rsidRPr="006352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Zamawiający wymaga dostarczenia świadectwa dopuszczenia do użytkowania w ochronie przeciwpożarowej zgodnie z przepisami Ustawy z dnia 24 sierpnia 1991 – o ochronie przeciwpożarowej (</w:t>
            </w:r>
            <w:proofErr w:type="spellStart"/>
            <w:r w:rsidRPr="006352C7">
              <w:rPr>
                <w:rFonts w:cs="Times New Roman"/>
                <w:color w:val="333333"/>
                <w:shd w:val="clear" w:color="auto" w:fill="FFFFFF"/>
              </w:rPr>
              <w:t>t.j</w:t>
            </w:r>
            <w:proofErr w:type="spellEnd"/>
            <w:r w:rsidRPr="006352C7">
              <w:rPr>
                <w:rFonts w:cs="Times New Roman"/>
                <w:color w:val="333333"/>
                <w:shd w:val="clear" w:color="auto" w:fill="FFFFFF"/>
              </w:rPr>
              <w:t xml:space="preserve">. Dz. U. z 2024 r. poz. 275). </w:t>
            </w:r>
            <w:r w:rsidRPr="006352C7">
              <w:rPr>
                <w:rFonts w:cs="Times New Roman"/>
              </w:rPr>
              <w:t>oraz rozporządzeniem Ministra Spraw Wewnętrznych i Administracji  z dnia 20 czerwca 2007r. w sprawie wykazu wyrobów służących zapewnieniu bezpieczeństwa publicznego lub ochronie zdrowia i życia  oraz mienia, a także zasad wydawania dopuszczenia tych wyrobów do użytkowania  (Dz. U. Nr 143 poz. 1002 z późniejszymi zmianami).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eastAsia="Droid Sans" w:cs="Times New Roman"/>
              </w:rPr>
            </w:pPr>
            <w:r w:rsidRPr="006352C7">
              <w:rPr>
                <w:rFonts w:cs="Times New Roman"/>
              </w:rPr>
              <w:t>Samochód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fabrycznie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nowy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-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wyprodukowany</w:t>
            </w:r>
            <w:r w:rsidRPr="006352C7">
              <w:rPr>
                <w:rFonts w:eastAsia="Times New Roman" w:cs="Times New Roman"/>
              </w:rPr>
              <w:t xml:space="preserve"> nie wcześniej niż </w:t>
            </w:r>
            <w:r w:rsidRPr="006352C7">
              <w:rPr>
                <w:rFonts w:cs="Times New Roman"/>
              </w:rPr>
              <w:t>w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2023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roku.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  <w:color w:val="000000"/>
              </w:rPr>
              <w:t>Samochód bazowy musi posiadać świadectwo homologacji typu lub świadectwo zgodności WE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Liczba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miejsc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do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siedzenia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- minimum</w:t>
            </w:r>
            <w:r w:rsidRPr="006352C7">
              <w:rPr>
                <w:rFonts w:eastAsia="Times New Roman" w:cs="Times New Roman"/>
              </w:rPr>
              <w:t xml:space="preserve"> 4 </w:t>
            </w:r>
            <w:r w:rsidRPr="006352C7">
              <w:rPr>
                <w:rFonts w:cs="Times New Roman"/>
              </w:rPr>
              <w:t>z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kierowcą.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D809EE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6352C7">
              <w:rPr>
                <w:rFonts w:cs="Times New Roman"/>
                <w:b/>
              </w:rPr>
              <w:t>Podstawowe</w:t>
            </w:r>
            <w:r w:rsidRPr="006352C7">
              <w:rPr>
                <w:rFonts w:eastAsia="Times New Roman" w:cs="Times New Roman"/>
                <w:b/>
              </w:rPr>
              <w:t xml:space="preserve"> </w:t>
            </w:r>
            <w:r w:rsidRPr="006352C7">
              <w:rPr>
                <w:rFonts w:cs="Times New Roman"/>
                <w:b/>
              </w:rPr>
              <w:t>parametry</w:t>
            </w:r>
            <w:r w:rsidRPr="006352C7">
              <w:rPr>
                <w:rFonts w:eastAsia="Times New Roman" w:cs="Times New Roman"/>
                <w:b/>
              </w:rPr>
              <w:t xml:space="preserve"> </w:t>
            </w:r>
            <w:r w:rsidRPr="006352C7">
              <w:rPr>
                <w:rFonts w:cs="Times New Roman"/>
                <w:b/>
              </w:rPr>
              <w:t>napędu/podwozia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6352C7">
              <w:rPr>
                <w:rFonts w:cs="Times New Roman"/>
              </w:rPr>
              <w:t>Silnik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z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zapłonem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samoczynnym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z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turbodoładowaniem,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moc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min.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200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[KM],</w:t>
            </w:r>
            <w:r w:rsidRPr="006352C7">
              <w:rPr>
                <w:rFonts w:eastAsia="Times New Roman" w:cs="Times New Roman"/>
              </w:rPr>
              <w:t xml:space="preserve"> </w:t>
            </w:r>
          </w:p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6352C7">
              <w:rPr>
                <w:rFonts w:cs="Times New Roman"/>
              </w:rPr>
              <w:t>moment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obrotowy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min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400</w:t>
            </w:r>
            <w:r w:rsidRPr="006352C7">
              <w:rPr>
                <w:rFonts w:eastAsia="Times New Roman" w:cs="Times New Roman"/>
              </w:rPr>
              <w:t xml:space="preserve"> </w:t>
            </w:r>
            <w:proofErr w:type="spellStart"/>
            <w:r w:rsidRPr="006352C7">
              <w:rPr>
                <w:rFonts w:cs="Times New Roman"/>
              </w:rPr>
              <w:t>Nm</w:t>
            </w:r>
            <w:proofErr w:type="spellEnd"/>
            <w:r w:rsidRPr="006352C7">
              <w:rPr>
                <w:rFonts w:cs="Times New Roman"/>
              </w:rPr>
              <w:t>,</w:t>
            </w:r>
            <w:r w:rsidRPr="006352C7">
              <w:rPr>
                <w:rFonts w:eastAsia="Times New Roman" w:cs="Times New Roman"/>
              </w:rPr>
              <w:t xml:space="preserve"> </w:t>
            </w:r>
          </w:p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pojemność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min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1950 </w:t>
            </w:r>
            <w:r w:rsidRPr="006352C7">
              <w:rPr>
                <w:rFonts w:cs="Times New Roman"/>
              </w:rPr>
              <w:t>dm</w:t>
            </w:r>
            <w:r w:rsidRPr="006352C7">
              <w:rPr>
                <w:rFonts w:cs="Times New Roman"/>
                <w:vertAlign w:val="superscript"/>
              </w:rPr>
              <w:t>3</w:t>
            </w:r>
            <w:r w:rsidRPr="006352C7">
              <w:rPr>
                <w:rFonts w:cs="Times New Roman"/>
              </w:rPr>
              <w:t>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031" w:rsidRPr="006352C7" w:rsidRDefault="006A5031" w:rsidP="00A57EAB">
            <w:pPr>
              <w:pStyle w:val="Standard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Skrzynia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biegów  minimum automatyczna.</w:t>
            </w:r>
          </w:p>
          <w:p w:rsidR="006A5031" w:rsidRPr="006352C7" w:rsidRDefault="006A5031" w:rsidP="00A57EAB">
            <w:pPr>
              <w:pStyle w:val="Standard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Napęd</w:t>
            </w:r>
            <w:r w:rsidRPr="006352C7">
              <w:rPr>
                <w:rFonts w:eastAsia="Times New Roman" w:cs="Times New Roman"/>
              </w:rPr>
              <w:t xml:space="preserve"> 4x4 z odłączanym napędem osi przedniej. Blokada min. tylnego mechanizmu różnicowego.</w:t>
            </w:r>
            <w:r w:rsidRPr="006352C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352C7">
              <w:rPr>
                <w:rFonts w:eastAsia="Times New Roman" w:cs="Times New Roman"/>
              </w:rPr>
              <w:t>Osłona silnika i skrzyni rozdzielczej - stalowa.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eastAsia="Droid Sans" w:cs="Times New Roman"/>
              </w:rPr>
            </w:pPr>
            <w:r w:rsidRPr="006352C7">
              <w:rPr>
                <w:rFonts w:cs="Times New Roman"/>
              </w:rPr>
              <w:t>Dopuszczalna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masa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całkowita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max.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3500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[kg].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Zbiornik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paliwa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o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pojemności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minimum</w:t>
            </w:r>
            <w:r w:rsidRPr="006352C7">
              <w:rPr>
                <w:rFonts w:eastAsia="Times New Roman" w:cs="Times New Roman"/>
              </w:rPr>
              <w:t xml:space="preserve"> 75 </w:t>
            </w:r>
            <w:r w:rsidRPr="006352C7">
              <w:rPr>
                <w:rFonts w:cs="Times New Roman"/>
              </w:rPr>
              <w:t>l.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Felgi</w:t>
            </w:r>
            <w:r w:rsidRPr="006352C7">
              <w:rPr>
                <w:rFonts w:eastAsia="Times New Roman" w:cs="Times New Roman"/>
              </w:rPr>
              <w:t xml:space="preserve"> minimum stalowe </w:t>
            </w:r>
            <w:r w:rsidRPr="006352C7">
              <w:rPr>
                <w:rFonts w:cs="Times New Roman"/>
              </w:rPr>
              <w:t>z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oponami</w:t>
            </w:r>
            <w:r w:rsidRPr="006352C7">
              <w:rPr>
                <w:rFonts w:eastAsia="Times New Roman" w:cs="Times New Roman"/>
              </w:rPr>
              <w:t xml:space="preserve"> typu AT </w:t>
            </w:r>
            <w:r w:rsidRPr="006352C7">
              <w:rPr>
                <w:rFonts w:cs="Times New Roman"/>
              </w:rPr>
              <w:t>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Prześwit pod osią przednią i tylną minimum 2</w:t>
            </w:r>
            <w:r w:rsidR="00C76F96" w:rsidRPr="006352C7">
              <w:rPr>
                <w:rFonts w:cs="Times New Roman"/>
              </w:rPr>
              <w:t>19</w:t>
            </w:r>
            <w:r w:rsidRPr="006352C7">
              <w:rPr>
                <w:rFonts w:cs="Times New Roman"/>
              </w:rPr>
              <w:t xml:space="preserve"> mm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  <w:vertAlign w:val="superscript"/>
              </w:rPr>
            </w:pPr>
            <w:r w:rsidRPr="006352C7">
              <w:rPr>
                <w:rFonts w:cs="Times New Roman"/>
              </w:rPr>
              <w:t>Kąt natarcia minimum 28</w:t>
            </w:r>
            <w:r w:rsidRPr="006352C7">
              <w:rPr>
                <w:rFonts w:cs="Times New Roman"/>
                <w:vertAlign w:val="superscript"/>
              </w:rPr>
              <w:t>0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Kąt zejścia (bez haka) minimum 2</w:t>
            </w:r>
            <w:r w:rsidR="00C76F96" w:rsidRPr="006352C7">
              <w:rPr>
                <w:rFonts w:cs="Times New Roman"/>
              </w:rPr>
              <w:t>2</w:t>
            </w:r>
            <w:r w:rsidRPr="006352C7">
              <w:rPr>
                <w:rFonts w:cs="Times New Roman"/>
                <w:vertAlign w:val="superscript"/>
              </w:rPr>
              <w:t>0</w:t>
            </w:r>
            <w:r w:rsidRPr="006352C7">
              <w:rPr>
                <w:rFonts w:cs="Times New Roman"/>
              </w:rPr>
              <w:t xml:space="preserve"> 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D809EE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6A5031" w:rsidRPr="006352C7" w:rsidRDefault="006A5031" w:rsidP="00D809EE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6352C7">
              <w:rPr>
                <w:rFonts w:cs="Times New Roman"/>
                <w:b/>
              </w:rPr>
              <w:t>Podstawowe</w:t>
            </w:r>
            <w:r w:rsidRPr="006352C7">
              <w:rPr>
                <w:rFonts w:eastAsia="Times New Roman" w:cs="Times New Roman"/>
                <w:b/>
              </w:rPr>
              <w:t xml:space="preserve"> </w:t>
            </w:r>
            <w:r w:rsidRPr="006352C7">
              <w:rPr>
                <w:rFonts w:cs="Times New Roman"/>
                <w:b/>
              </w:rPr>
              <w:t>parametry</w:t>
            </w:r>
            <w:r w:rsidRPr="006352C7">
              <w:rPr>
                <w:rFonts w:eastAsia="Times New Roman" w:cs="Times New Roman"/>
                <w:b/>
              </w:rPr>
              <w:t xml:space="preserve"> </w:t>
            </w:r>
            <w:r w:rsidRPr="006352C7">
              <w:rPr>
                <w:rFonts w:cs="Times New Roman"/>
                <w:b/>
              </w:rPr>
              <w:t>nadwozia/pojazdu</w:t>
            </w:r>
          </w:p>
          <w:p w:rsidR="006A5031" w:rsidRPr="006352C7" w:rsidRDefault="006A5031" w:rsidP="00D809EE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6D0A5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Kolor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nadwozia:</w:t>
            </w:r>
            <w:r w:rsidRPr="006352C7">
              <w:rPr>
                <w:rFonts w:eastAsia="Times New Roman" w:cs="Times New Roman"/>
              </w:rPr>
              <w:t xml:space="preserve"> czerwony</w:t>
            </w:r>
            <w:r w:rsidR="00C76F96" w:rsidRPr="006352C7">
              <w:rPr>
                <w:rFonts w:eastAsia="Times New Roman" w:cs="Times New Roman"/>
              </w:rPr>
              <w:t>, srebrny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8E2" w:rsidRPr="006352C7" w:rsidRDefault="006A5031" w:rsidP="005A78E2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A78E2">
              <w:rPr>
                <w:rFonts w:cs="Times New Roman"/>
              </w:rPr>
              <w:t>Zderzaki</w:t>
            </w:r>
            <w:r w:rsidRPr="005A78E2">
              <w:rPr>
                <w:rFonts w:eastAsia="Times New Roman" w:cs="Times New Roman"/>
              </w:rPr>
              <w:t xml:space="preserve"> </w:t>
            </w:r>
            <w:r w:rsidRPr="005A78E2">
              <w:rPr>
                <w:rFonts w:cs="Times New Roman"/>
              </w:rPr>
              <w:t>lakierowane</w:t>
            </w:r>
            <w:r w:rsidRPr="005A78E2">
              <w:rPr>
                <w:rFonts w:eastAsia="Times New Roman" w:cs="Times New Roman"/>
              </w:rPr>
              <w:t xml:space="preserve"> </w:t>
            </w:r>
            <w:r w:rsidRPr="005A78E2">
              <w:rPr>
                <w:rFonts w:cs="Times New Roman"/>
              </w:rPr>
              <w:t>w</w:t>
            </w:r>
            <w:r w:rsidRPr="005A78E2">
              <w:rPr>
                <w:rFonts w:eastAsia="Times New Roman" w:cs="Times New Roman"/>
              </w:rPr>
              <w:t xml:space="preserve"> </w:t>
            </w:r>
            <w:r w:rsidRPr="005A78E2">
              <w:rPr>
                <w:rFonts w:cs="Times New Roman"/>
              </w:rPr>
              <w:t>kolorze</w:t>
            </w:r>
            <w:r w:rsidRPr="005A78E2">
              <w:rPr>
                <w:rFonts w:eastAsia="Times New Roman" w:cs="Times New Roman"/>
              </w:rPr>
              <w:t xml:space="preserve"> </w:t>
            </w:r>
            <w:r w:rsidRPr="005A78E2">
              <w:rPr>
                <w:rFonts w:cs="Times New Roman"/>
              </w:rPr>
              <w:t>nadwozia. Dopuszcza się nakładki na zderzaki w kolorze chromu</w:t>
            </w:r>
            <w:r w:rsidR="005A78E2" w:rsidRPr="005A78E2">
              <w:rPr>
                <w:rFonts w:cs="Times New Roman"/>
              </w:rPr>
              <w:t>.</w:t>
            </w:r>
            <w:r w:rsidR="005A78E2">
              <w:rPr>
                <w:rFonts w:cs="Times New Roman"/>
              </w:rPr>
              <w:t xml:space="preserve"> </w:t>
            </w:r>
            <w:r w:rsidR="005A78E2" w:rsidRPr="005A78E2">
              <w:rPr>
                <w:rFonts w:cs="Times New Roman"/>
              </w:rPr>
              <w:t xml:space="preserve">Dopuszcza się zderzak przedni </w:t>
            </w:r>
            <w:r w:rsidR="005A78E2">
              <w:rPr>
                <w:rFonts w:cs="Times New Roman"/>
              </w:rPr>
              <w:t xml:space="preserve">                  </w:t>
            </w:r>
            <w:r w:rsidR="005A78E2" w:rsidRPr="005A78E2">
              <w:rPr>
                <w:rFonts w:cs="Times New Roman"/>
              </w:rPr>
              <w:t>w kolorze nadwozia z dolną częścią w kolorze srebrnym. Dopuszcza się tylny zderzak</w:t>
            </w:r>
            <w:r w:rsidR="005A78E2">
              <w:rPr>
                <w:rFonts w:cs="Times New Roman"/>
              </w:rPr>
              <w:t xml:space="preserve"> częściowo </w:t>
            </w:r>
            <w:r w:rsidR="005A78E2" w:rsidRPr="005A78E2">
              <w:rPr>
                <w:rFonts w:cs="Times New Roman"/>
              </w:rPr>
              <w:t>w kolorze nadwozia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Wymiary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pojazdu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[mm]:</w:t>
            </w:r>
          </w:p>
          <w:p w:rsidR="006A5031" w:rsidRPr="006352C7" w:rsidRDefault="006A5031" w:rsidP="00A57EA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6352C7">
              <w:rPr>
                <w:rFonts w:ascii="Times New Roman" w:hAnsi="Times New Roman"/>
                <w:lang w:bidi="hi-IN"/>
              </w:rPr>
              <w:t>długość: min. 5200 mm,</w:t>
            </w:r>
          </w:p>
          <w:p w:rsidR="006A5031" w:rsidRPr="006352C7" w:rsidRDefault="006A5031" w:rsidP="00A57EA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6352C7">
              <w:rPr>
                <w:rFonts w:ascii="Times New Roman" w:hAnsi="Times New Roman"/>
                <w:lang w:bidi="hi-IN"/>
              </w:rPr>
              <w:t>wysokość całkowita bez obciążenia: min. 1800mm,</w:t>
            </w:r>
          </w:p>
          <w:p w:rsidR="006A5031" w:rsidRPr="006352C7" w:rsidRDefault="006A5031" w:rsidP="00A57EA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6352C7">
              <w:rPr>
                <w:rFonts w:ascii="Times New Roman" w:hAnsi="Times New Roman"/>
                <w:lang w:bidi="hi-IN"/>
              </w:rPr>
              <w:t>rozstaw osi: min. 3000 mm,</w:t>
            </w:r>
          </w:p>
          <w:p w:rsidR="006A5031" w:rsidRPr="006352C7" w:rsidRDefault="006A5031" w:rsidP="00A57EAB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6352C7">
              <w:rPr>
                <w:rFonts w:ascii="Times New Roman" w:hAnsi="Times New Roman"/>
                <w:lang w:bidi="hi-IN"/>
              </w:rPr>
              <w:t>szerokość min. 1800 mm.</w:t>
            </w:r>
          </w:p>
          <w:p w:rsidR="006A5031" w:rsidRPr="006352C7" w:rsidRDefault="006A5031" w:rsidP="00A57EA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hAnsi="Times New Roman"/>
              </w:rPr>
            </w:pPr>
            <w:r w:rsidRPr="006352C7">
              <w:rPr>
                <w:rFonts w:ascii="Times New Roman" w:hAnsi="Times New Roman"/>
              </w:rPr>
              <w:t>minimalny promień skrętu nie większy niż 6,5m.</w:t>
            </w:r>
          </w:p>
          <w:p w:rsidR="006A5031" w:rsidRPr="006352C7" w:rsidRDefault="006A5031" w:rsidP="00A57EA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52C7">
              <w:rPr>
                <w:rFonts w:ascii="Times New Roman" w:hAnsi="Times New Roman"/>
              </w:rPr>
              <w:t>głębokość brodzenia pojazdu min. 800 mm,</w:t>
            </w:r>
          </w:p>
          <w:p w:rsidR="006A5031" w:rsidRPr="006352C7" w:rsidRDefault="006A5031" w:rsidP="00A57EA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52C7">
              <w:rPr>
                <w:rFonts w:ascii="Times New Roman" w:hAnsi="Times New Roman"/>
                <w:bCs/>
              </w:rPr>
              <w:t>wymiary przestrzeni ładunkowej – co najmniej dł. 1500 x szer. 1500 mm.</w:t>
            </w:r>
          </w:p>
          <w:p w:rsidR="006A5031" w:rsidRPr="006352C7" w:rsidRDefault="006A5031" w:rsidP="00A57EAB">
            <w:pPr>
              <w:pStyle w:val="Akapitzlist"/>
              <w:suppressAutoHyphens/>
              <w:autoSpaceDN w:val="0"/>
              <w:spacing w:after="0" w:line="240" w:lineRule="auto"/>
              <w:ind w:left="1440"/>
              <w:jc w:val="both"/>
              <w:rPr>
                <w:rFonts w:ascii="Times New Roman" w:hAnsi="Times New Roman"/>
                <w:lang w:bidi="hi-IN"/>
              </w:rPr>
            </w:pP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Konstrukcja pojazdu o nadwoziu czterodrzwiowym z paką typu Pick-Up.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Lusterka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zewnętrzne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elektrycznie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regulowane, składane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i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ogrzewane.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Pełnowymiarowe koło zapasowe.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Światła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przeciwmgielne</w:t>
            </w:r>
            <w:r w:rsidRPr="006352C7">
              <w:rPr>
                <w:rFonts w:eastAsia="Times New Roman" w:cs="Times New Roman"/>
              </w:rPr>
              <w:t xml:space="preserve"> przednie i tylne.</w:t>
            </w:r>
            <w:r w:rsidRPr="006352C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352C7">
              <w:rPr>
                <w:rFonts w:eastAsia="Times New Roman" w:cs="Times New Roman"/>
              </w:rPr>
              <w:t>Światła do jazdy dziennej.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eastAsia="Droid Sans" w:cs="Times New Roman"/>
                <w:shd w:val="clear" w:color="auto" w:fill="FFFFFF"/>
              </w:rPr>
            </w:pPr>
            <w:r w:rsidRPr="006352C7">
              <w:rPr>
                <w:rFonts w:cs="Times New Roman"/>
                <w:shd w:val="clear" w:color="auto" w:fill="FFFFFF"/>
              </w:rPr>
              <w:t>System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zapobiegający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blokowaniu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kół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podczas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hamowania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[ABS],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system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stabilizacji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toru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jazdy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[ESP],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system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optymalizacji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przyczepności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podczas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przyśpieszania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[ASR],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system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wspomagający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ruszanie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z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miejsca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na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wzniesieniach.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D809EE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6352C7">
              <w:rPr>
                <w:rFonts w:cs="Times New Roman"/>
                <w:b/>
              </w:rPr>
              <w:t>Wyposażenie</w:t>
            </w:r>
            <w:r w:rsidRPr="006352C7">
              <w:rPr>
                <w:rFonts w:eastAsia="Times New Roman" w:cs="Times New Roman"/>
                <w:b/>
              </w:rPr>
              <w:t xml:space="preserve"> </w:t>
            </w:r>
            <w:r w:rsidRPr="006352C7">
              <w:rPr>
                <w:rFonts w:cs="Times New Roman"/>
                <w:b/>
              </w:rPr>
              <w:t>pojazdu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Szyby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boczne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kabinie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sterowane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elektrycznie. Dopuszcza się pojazd z elektrycznie sterowanymi szybami części przedniej kabiny i manualnie sterowanymi w części tylnej kabiny.</w:t>
            </w:r>
            <w:r w:rsidRPr="006352C7">
              <w:rPr>
                <w:rFonts w:eastAsia="Times New Roman" w:cs="Times New Roman"/>
                <w:kern w:val="0"/>
                <w:sz w:val="12"/>
                <w:szCs w:val="12"/>
                <w:lang w:eastAsia="pl-PL" w:bidi="ar-SA"/>
              </w:rPr>
              <w:t xml:space="preserve"> 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 xml:space="preserve">Immobiliser 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Poduszki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powietrzne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kabinie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kierowcy: min.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przednie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i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boczne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dla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kierowcy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i pasażera,</w:t>
            </w:r>
            <w:r w:rsidRPr="006352C7">
              <w:rPr>
                <w:rFonts w:eastAsia="Times New Roman" w:cs="Times New Roman"/>
              </w:rPr>
              <w:t xml:space="preserve"> kurtyny powietrzne, poduszka kolanowa kierowcy, trzypunktowe pasy bezpieczeństwa dla wszystkich miejsc.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Kierownica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wielofunkcyjna,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umożliwiająca obsługę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radia</w:t>
            </w:r>
            <w:r w:rsidRPr="006352C7">
              <w:rPr>
                <w:rFonts w:eastAsia="Times New Roman" w:cs="Times New Roman"/>
              </w:rPr>
              <w:t>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eastAsia="Droid Sans" w:cs="Times New Roman"/>
              </w:rPr>
            </w:pPr>
            <w:r w:rsidRPr="006352C7">
              <w:rPr>
                <w:rFonts w:cs="Times New Roman"/>
              </w:rPr>
              <w:t>Kolumna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kierownicy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z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regulacją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minimum jednej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płaszczyźnie.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Centralny zamek sterowany z pilota.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Wszystkie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fotele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wyposażone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zagłówki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z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regulacją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wysokości,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wszystkie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siedzenia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przodem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do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kierunku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jazdy. Podłokietnik z przodu.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Kolor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foteli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pasażerskich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oraz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wnętrza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przestrzeni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pasażerskiej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</w:t>
            </w:r>
            <w:r w:rsidRPr="006352C7">
              <w:rPr>
                <w:rFonts w:eastAsia="Times New Roman" w:cs="Times New Roman"/>
              </w:rPr>
              <w:t xml:space="preserve"> ciemnym </w:t>
            </w:r>
            <w:r w:rsidRPr="006352C7">
              <w:rPr>
                <w:rFonts w:cs="Times New Roman"/>
              </w:rPr>
              <w:t>kolorze,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siedzenia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wyłożone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tapicerką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z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tkaniny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odpornej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na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uszkodzenia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i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łatwą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 czyszczeniu.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Klimatyzacja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Głośniki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z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rozprowadzoną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instalacją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elektryczną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rozmieszczone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pojeździe.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Instalacja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radiowa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wyposażona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antenę.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TableContents"/>
              <w:numPr>
                <w:ilvl w:val="0"/>
                <w:numId w:val="6"/>
              </w:numPr>
              <w:snapToGrid w:val="0"/>
              <w:ind w:left="23" w:right="9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Radioodtwarzacz  z gniazdem USB oraz systemem Bluetooth wyświetlacz minimum 8”.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Deska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rozdzielcza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wyposażona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prędkościomierz,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obrotomierz,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wskaźnik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poziomu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paliwa,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komputer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pokładowy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itp.</w:t>
            </w:r>
          </w:p>
        </w:tc>
      </w:tr>
      <w:tr w:rsidR="006A5031" w:rsidRPr="006352C7" w:rsidTr="00D809EE">
        <w:trPr>
          <w:trHeight w:val="62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352C7">
              <w:rPr>
                <w:rFonts w:cs="Times New Roman"/>
                <w:shd w:val="clear" w:color="auto" w:fill="FFFFFF"/>
              </w:rPr>
              <w:t>Trzecie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światło</w:t>
            </w:r>
            <w:r w:rsidRPr="006352C7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shd w:val="clear" w:color="auto" w:fill="FFFFFF"/>
              </w:rPr>
              <w:t>stop.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  <w:r w:rsidRPr="006352C7">
              <w:rPr>
                <w:rFonts w:eastAsia="Times New Roman" w:cs="Times New Roman"/>
              </w:rPr>
              <w:t>Uchwyt holowniczy z przodu pojazdu.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eastAsia="Droid Sans" w:cs="Times New Roman"/>
              </w:rPr>
            </w:pPr>
            <w:r w:rsidRPr="006352C7">
              <w:rPr>
                <w:rFonts w:cs="Times New Roman"/>
              </w:rPr>
              <w:t>Wspomaganie kierownicy.</w:t>
            </w:r>
          </w:p>
        </w:tc>
      </w:tr>
      <w:tr w:rsidR="006A5031" w:rsidRPr="006352C7" w:rsidTr="00D809EE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352C7"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6352C7">
              <w:rPr>
                <w:rFonts w:eastAsia="Calibri" w:cs="Times New Roman"/>
                <w:lang w:eastAsia="en-US"/>
              </w:rPr>
              <w:t xml:space="preserve"> Tylna klapa z zastosowaniem mechanizmu ułatwiającego podnoszenie i opuszczanie klap, zamek zintegrowany z zamkiem centralnym  pojazdu</w:t>
            </w:r>
          </w:p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  <w:shd w:val="clear" w:color="auto" w:fill="FFFFFF"/>
              </w:rPr>
            </w:pP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352C7">
              <w:rPr>
                <w:rFonts w:cs="Times New Roman"/>
                <w:color w:val="000000"/>
                <w:shd w:val="clear" w:color="auto" w:fill="FFFFFF"/>
              </w:rPr>
              <w:t>Na</w:t>
            </w:r>
            <w:r w:rsidRPr="006352C7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color w:val="000000"/>
                <w:shd w:val="clear" w:color="auto" w:fill="FFFFFF"/>
              </w:rPr>
              <w:t>wyposażeniu:</w:t>
            </w:r>
            <w:r w:rsidRPr="006352C7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color w:val="000000"/>
                <w:shd w:val="clear" w:color="auto" w:fill="FFFFFF"/>
              </w:rPr>
              <w:t>zestaw</w:t>
            </w:r>
            <w:r w:rsidRPr="006352C7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color w:val="000000"/>
                <w:shd w:val="clear" w:color="auto" w:fill="FFFFFF"/>
              </w:rPr>
              <w:t>narzędzi,</w:t>
            </w:r>
            <w:r w:rsidRPr="006352C7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color w:val="000000"/>
                <w:shd w:val="clear" w:color="auto" w:fill="FFFFFF"/>
              </w:rPr>
              <w:t>podnośnik</w:t>
            </w:r>
            <w:r w:rsidRPr="006352C7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color w:val="000000"/>
                <w:shd w:val="clear" w:color="auto" w:fill="FFFFFF"/>
              </w:rPr>
              <w:t>samochodowy,</w:t>
            </w:r>
            <w:r w:rsidRPr="006352C7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color w:val="000000"/>
                <w:shd w:val="clear" w:color="auto" w:fill="FFFFFF"/>
              </w:rPr>
              <w:t>klucz</w:t>
            </w:r>
            <w:r w:rsidRPr="006352C7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color w:val="000000"/>
                <w:shd w:val="clear" w:color="auto" w:fill="FFFFFF"/>
              </w:rPr>
              <w:t>do</w:t>
            </w:r>
            <w:r w:rsidRPr="006352C7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color w:val="000000"/>
                <w:shd w:val="clear" w:color="auto" w:fill="FFFFFF"/>
              </w:rPr>
              <w:t>kół,</w:t>
            </w:r>
            <w:r w:rsidRPr="006352C7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color w:val="000000"/>
                <w:shd w:val="clear" w:color="auto" w:fill="FFFFFF"/>
              </w:rPr>
              <w:t>trójkąt</w:t>
            </w:r>
            <w:r w:rsidRPr="006352C7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6352C7">
              <w:rPr>
                <w:rFonts w:cs="Times New Roman"/>
                <w:color w:val="000000"/>
                <w:shd w:val="clear" w:color="auto" w:fill="FFFFFF"/>
              </w:rPr>
              <w:t>ostrzegawczy, gaśnica proszkowa min. 1 kg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Hak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holowniczy fabryczny, homologowany, kulowy,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z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wyprowadzoną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instalacją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elektryczną</w:t>
            </w:r>
            <w:r w:rsidRPr="006352C7">
              <w:rPr>
                <w:rFonts w:eastAsia="Times New Roman" w:cs="Times New Roman"/>
              </w:rPr>
              <w:t xml:space="preserve"> i </w:t>
            </w:r>
            <w:r w:rsidRPr="006352C7">
              <w:rPr>
                <w:rFonts w:cs="Times New Roman"/>
              </w:rPr>
              <w:t>gniazdem 13-pinowym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do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podłączenia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przyczepy.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Masa przyczepy z hamulcem 3500 kg zgodnie ze świadectwem WE.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eastAsia="Times New Roman" w:cs="Times New Roman"/>
                <w:color w:val="000000"/>
              </w:rPr>
            </w:pPr>
            <w:r w:rsidRPr="006352C7">
              <w:rPr>
                <w:rFonts w:eastAsia="Times New Roman" w:cs="Times New Roman"/>
                <w:color w:val="000000"/>
              </w:rPr>
              <w:t>Gniazdo 12 V - 2 szt. w przedziale kierowcy.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Droid Sans"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 xml:space="preserve">W kabinie kierowcy zamontować  radiotelefon przewoźny  SZTUK 1  wraz z kompletną instalacją antenową. </w:t>
            </w:r>
          </w:p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 xml:space="preserve">Radiotelefon o parametrach: częstotliwość VHF 136-174 MHz, moc 1 - 25 W, odstęp międzykanałowy 12,5 </w:t>
            </w:r>
            <w:proofErr w:type="spellStart"/>
            <w:r w:rsidRPr="006352C7">
              <w:rPr>
                <w:rFonts w:cs="Times New Roman"/>
              </w:rPr>
              <w:t>kHzw</w:t>
            </w:r>
            <w:proofErr w:type="spellEnd"/>
            <w:r w:rsidRPr="006352C7">
              <w:rPr>
                <w:rFonts w:cs="Times New Roman"/>
              </w:rPr>
              <w:t xml:space="preserve"> trybie cyfrowym i analogowym, Min. 160 kanałów. Wyświetlacz alfanumeryczny + ikony stanu pracy radiotelefonu, </w:t>
            </w:r>
          </w:p>
          <w:p w:rsidR="006A5031" w:rsidRPr="006352C7" w:rsidRDefault="006A5031" w:rsidP="00A57EAB">
            <w:pPr>
              <w:pStyle w:val="Standard"/>
              <w:numPr>
                <w:ilvl w:val="0"/>
                <w:numId w:val="7"/>
              </w:numPr>
              <w:snapToGrid w:val="0"/>
              <w:ind w:left="444" w:hanging="425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radiotelefon analogowo-cyfrowy (dwie szczeliny TDMA)</w:t>
            </w:r>
          </w:p>
          <w:p w:rsidR="006A5031" w:rsidRPr="006352C7" w:rsidRDefault="006A5031" w:rsidP="00A57EAB">
            <w:pPr>
              <w:pStyle w:val="Standard"/>
              <w:numPr>
                <w:ilvl w:val="0"/>
                <w:numId w:val="7"/>
              </w:numPr>
              <w:snapToGrid w:val="0"/>
              <w:ind w:left="444" w:hanging="425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cztery programowalne przycisków funkcyjne</w:t>
            </w:r>
          </w:p>
          <w:p w:rsidR="006A5031" w:rsidRPr="006352C7" w:rsidRDefault="006A5031" w:rsidP="00A57EAB">
            <w:pPr>
              <w:pStyle w:val="Standard"/>
              <w:numPr>
                <w:ilvl w:val="0"/>
                <w:numId w:val="7"/>
              </w:numPr>
              <w:snapToGrid w:val="0"/>
              <w:ind w:left="444" w:hanging="425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zdalne programowanie drogą radiową</w:t>
            </w:r>
          </w:p>
          <w:p w:rsidR="006A5031" w:rsidRPr="006352C7" w:rsidRDefault="006A5031" w:rsidP="00A57EA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blok nadawczo-odbiorczy z wyświetlaczem</w:t>
            </w:r>
          </w:p>
          <w:p w:rsidR="006A5031" w:rsidRPr="006352C7" w:rsidRDefault="006A5031" w:rsidP="00A57EA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antena samochodowa na pasmo pracy radiotelefonu + wtyk</w:t>
            </w:r>
          </w:p>
          <w:p w:rsidR="006A5031" w:rsidRPr="006352C7" w:rsidRDefault="006A5031" w:rsidP="00A57EA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 xml:space="preserve">uchwyt </w:t>
            </w:r>
          </w:p>
          <w:p w:rsidR="006A5031" w:rsidRPr="006352C7" w:rsidRDefault="006A5031" w:rsidP="00A57EA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instrukcja obsługi w języku polskim do radiotelefonu</w:t>
            </w:r>
          </w:p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Oferowany okres gwarancji - minimum 24 miesiące gwarancji - winien objąć także radiotelefon.</w:t>
            </w:r>
          </w:p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Radiotelefon zaprogramowany zostanie przez Zamawiającego.</w:t>
            </w:r>
          </w:p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Miejsce montażu anteny oraz radiotelefonu należy uzgodnić z Zamawiającym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 xml:space="preserve"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</w:t>
            </w:r>
            <w:r w:rsidRPr="006352C7">
              <w:rPr>
                <w:rFonts w:cs="Times New Roman"/>
                <w:color w:val="333333"/>
                <w:shd w:val="clear" w:color="auto" w:fill="FFFFFF"/>
              </w:rPr>
              <w:t>(</w:t>
            </w:r>
            <w:proofErr w:type="spellStart"/>
            <w:r w:rsidRPr="006352C7">
              <w:rPr>
                <w:rFonts w:cs="Times New Roman"/>
                <w:color w:val="333333"/>
                <w:shd w:val="clear" w:color="auto" w:fill="FFFFFF"/>
              </w:rPr>
              <w:t>t.j</w:t>
            </w:r>
            <w:proofErr w:type="spellEnd"/>
            <w:r w:rsidRPr="006352C7">
              <w:rPr>
                <w:rFonts w:cs="Times New Roman"/>
                <w:color w:val="333333"/>
                <w:shd w:val="clear" w:color="auto" w:fill="FFFFFF"/>
              </w:rPr>
              <w:t>. Dz. U. z 2024 r. poz. 502).</w:t>
            </w:r>
            <w:r w:rsidRPr="006352C7">
              <w:rPr>
                <w:rFonts w:cs="Times New Roman"/>
              </w:rPr>
              <w:t xml:space="preserve"> 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lang w:eastAsia="pl-PL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>Samochód wyposażony w główny wyłącznik, umożliwiający odłączenie akumulatora od wszystkich systemów elektrycznych (z wyjątkiem tych, które wymagają stałego zasilania). Wyłącznik główny powinien znajdować się w zasięgu kierowcy.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 xml:space="preserve">ZABUDOWA HARDTOP – pokrycie przestrzeni ładunkowej, </w:t>
            </w:r>
            <w:r w:rsidRPr="006352C7"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6352C7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6352C7">
              <w:rPr>
                <w:rFonts w:cs="Times New Roman"/>
                <w:color w:val="000000"/>
                <w:shd w:val="clear" w:color="auto" w:fill="FFFFFF"/>
              </w:rPr>
              <w:t xml:space="preserve">Zabudowa skrzyni ładunkowej </w:t>
            </w:r>
            <w:proofErr w:type="spellStart"/>
            <w:r w:rsidRPr="006352C7">
              <w:rPr>
                <w:rFonts w:cs="Times New Roman"/>
                <w:color w:val="000000"/>
                <w:shd w:val="clear" w:color="auto" w:fill="FFFFFF"/>
              </w:rPr>
              <w:t>hardtop</w:t>
            </w:r>
            <w:proofErr w:type="spellEnd"/>
            <w:r w:rsidRPr="006352C7">
              <w:rPr>
                <w:rFonts w:cs="Times New Roman"/>
                <w:color w:val="000000"/>
                <w:shd w:val="clear" w:color="auto" w:fill="FFFFFF"/>
              </w:rPr>
              <w:t xml:space="preserve"> na całej jej długości w kolorze  samochodu z możliwością łatwego dostępu do wnętrza przestrzeni ładunkowej przez trzy klapy (dwie boczne i tylną), klapy otwierane do góry unoszone przy pomocy amortyzatorów gazowych.</w:t>
            </w:r>
          </w:p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6352C7">
              <w:rPr>
                <w:rFonts w:cs="Times New Roman"/>
                <w:color w:val="000000"/>
                <w:shd w:val="clear" w:color="auto" w:fill="FFFFFF"/>
              </w:rPr>
              <w:t>Zabudowa wykonana z laminatu.</w:t>
            </w:r>
          </w:p>
          <w:p w:rsidR="006A5031" w:rsidRPr="006352C7" w:rsidRDefault="006A5031" w:rsidP="00A57EAB">
            <w:pPr>
              <w:pStyle w:val="Standard"/>
              <w:snapToGrid w:val="0"/>
              <w:jc w:val="both"/>
              <w:rPr>
                <w:rFonts w:cs="Times New Roman"/>
                <w:color w:val="000000"/>
                <w:lang w:eastAsia="pl-PL"/>
              </w:rPr>
            </w:pPr>
            <w:r w:rsidRPr="006352C7">
              <w:rPr>
                <w:rFonts w:cs="Times New Roman"/>
                <w:color w:val="000000"/>
                <w:shd w:val="clear" w:color="auto" w:fill="FFFFFF"/>
              </w:rPr>
              <w:t xml:space="preserve">Wysokość wewnętrzna pod zabudową </w:t>
            </w:r>
            <w:proofErr w:type="spellStart"/>
            <w:r w:rsidRPr="006352C7">
              <w:rPr>
                <w:rFonts w:cs="Times New Roman"/>
                <w:color w:val="000000"/>
                <w:shd w:val="clear" w:color="auto" w:fill="FFFFFF"/>
              </w:rPr>
              <w:t>hardtopem</w:t>
            </w:r>
            <w:proofErr w:type="spellEnd"/>
            <w:r w:rsidRPr="006352C7">
              <w:rPr>
                <w:rFonts w:cs="Times New Roman"/>
                <w:color w:val="000000"/>
                <w:shd w:val="clear" w:color="auto" w:fill="FFFFFF"/>
              </w:rPr>
              <w:t xml:space="preserve">  minimum 1000 </w:t>
            </w:r>
            <w:proofErr w:type="spellStart"/>
            <w:r w:rsidRPr="006352C7">
              <w:rPr>
                <w:rFonts w:cs="Times New Roman"/>
                <w:color w:val="000000"/>
                <w:shd w:val="clear" w:color="auto" w:fill="FFFFFF"/>
              </w:rPr>
              <w:t>mm</w:t>
            </w:r>
            <w:proofErr w:type="spellEnd"/>
            <w:r w:rsidRPr="006352C7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lang w:eastAsia="pl-PL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>Gniazda elektryczne 12V w przedziale bagażowym – 1 szt.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lang w:eastAsia="pl-PL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>Gaśnica proszkowa o masie środka gaśniczego 1 kg – przewożone w pojeździe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lang w:eastAsia="pl-PL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 xml:space="preserve">Dywaniki  gumowe 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 xml:space="preserve"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</w:t>
            </w:r>
            <w:r w:rsidRPr="006352C7">
              <w:rPr>
                <w:rFonts w:cs="Times New Roman"/>
                <w:color w:val="333333"/>
                <w:shd w:val="clear" w:color="auto" w:fill="FFFFFF"/>
              </w:rPr>
              <w:t> (</w:t>
            </w:r>
            <w:proofErr w:type="spellStart"/>
            <w:r w:rsidRPr="006352C7">
              <w:rPr>
                <w:rFonts w:cs="Times New Roman"/>
                <w:color w:val="333333"/>
                <w:shd w:val="clear" w:color="auto" w:fill="FFFFFF"/>
              </w:rPr>
              <w:t>t.j</w:t>
            </w:r>
            <w:proofErr w:type="spellEnd"/>
            <w:r w:rsidRPr="006352C7">
              <w:rPr>
                <w:rFonts w:cs="Times New Roman"/>
                <w:color w:val="333333"/>
                <w:shd w:val="clear" w:color="auto" w:fill="FFFFFF"/>
              </w:rPr>
              <w:t>. Dz. U. z 2024 r. poz. 502).</w:t>
            </w:r>
          </w:p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lang w:eastAsia="pl-PL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 xml:space="preserve">, a w szczególności winien być wyposażony w:  </w:t>
            </w:r>
          </w:p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•</w:t>
            </w:r>
            <w:r w:rsidRPr="006352C7">
              <w:rPr>
                <w:rFonts w:cs="Times New Roman"/>
              </w:rPr>
              <w:tab/>
              <w:t xml:space="preserve">Belka sygnalizacyjna na dachu pojazdu – </w:t>
            </w:r>
            <w:proofErr w:type="spellStart"/>
            <w:r w:rsidRPr="006352C7">
              <w:rPr>
                <w:rFonts w:cs="Times New Roman"/>
              </w:rPr>
              <w:t>LED’owa</w:t>
            </w:r>
            <w:proofErr w:type="spellEnd"/>
            <w:r w:rsidRPr="006352C7">
              <w:rPr>
                <w:rFonts w:cs="Times New Roman"/>
              </w:rPr>
              <w:t xml:space="preserve"> </w:t>
            </w:r>
            <w:proofErr w:type="spellStart"/>
            <w:r w:rsidRPr="006352C7">
              <w:rPr>
                <w:rFonts w:cs="Times New Roman"/>
              </w:rPr>
              <w:t>niskoprofilowa</w:t>
            </w:r>
            <w:proofErr w:type="spellEnd"/>
            <w:r w:rsidRPr="006352C7">
              <w:rPr>
                <w:rFonts w:cs="Times New Roman"/>
              </w:rPr>
              <w:t xml:space="preserve"> (wysokość profilu lampy max. 70mm), wyposażona w światło barwy niebieskiej oraz szyld podświetlany STRAŻ barwy czerwonej (podświetlenie </w:t>
            </w:r>
            <w:proofErr w:type="spellStart"/>
            <w:r w:rsidRPr="006352C7">
              <w:rPr>
                <w:rFonts w:cs="Times New Roman"/>
              </w:rPr>
              <w:t>LED’owe</w:t>
            </w:r>
            <w:proofErr w:type="spellEnd"/>
            <w:r w:rsidRPr="006352C7">
              <w:rPr>
                <w:rFonts w:cs="Times New Roman"/>
              </w:rPr>
              <w:t>), długość lampy dostosowana do szerokości dachu pojazdu, lampa nie może wystawać poza obrys dachu pojazdu,</w:t>
            </w:r>
          </w:p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•</w:t>
            </w:r>
            <w:r w:rsidRPr="006352C7">
              <w:rPr>
                <w:rFonts w:cs="Times New Roman"/>
              </w:rPr>
              <w:tab/>
              <w:t>Głośnik o mocy minimum 100W zamontowany w przedniej atrapie pojazdu,</w:t>
            </w:r>
          </w:p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•</w:t>
            </w:r>
            <w:r w:rsidRPr="006352C7">
              <w:rPr>
                <w:rFonts w:cs="Times New Roman"/>
              </w:rPr>
              <w:tab/>
              <w:t>Wzmacniacz sygnału dźwiękowego o mocy minimum 100W dedykowany do współpracy z zastosowanym głośnikiem, z możliwością podawania komunikatów słownych na zewnątrz, generujący sygnały o zmiennym tonie ( minimum 3 sygnały o zmiennym tonie, zmian modulacji po uruchomieniu klaksonu pojazdu),</w:t>
            </w:r>
          </w:p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 xml:space="preserve"> Sygnalizacja świetlna i dźwiękowa pochodząca od jednego producenta.</w:t>
            </w:r>
          </w:p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lang w:eastAsia="pl-PL"/>
              </w:rPr>
            </w:pPr>
            <w:r w:rsidRPr="006352C7">
              <w:rPr>
                <w:rFonts w:cs="Times New Roman"/>
              </w:rPr>
              <w:t xml:space="preserve"> Miejsce zamocowania sterownika i mikrofonu w kabinie zapewniające łatwy dostęp dla kierowcy oraz dowódcy (optymalnie w podsufitce dachowej), do uzgodnienia z Zamawiającym w trakcie realizacji zamówienia.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lang w:eastAsia="pl-PL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>Przetwornica 12/230V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lang w:eastAsia="pl-PL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>Agregat wysokociśnieniowy z zbiornikiem minimum 200l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lang w:eastAsia="pl-PL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>Wciągarka na przodzie pojazdu dostosowana do wagi pojazdu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lang w:eastAsia="pl-PL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>Dodatkowe światła ostrzegawcze na atrapie z przodu i na tylnej klapie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lang w:eastAsia="pl-PL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>Z tyłu pojazdu dodatkowa lampa oświetlająca pole pracy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lang w:eastAsia="pl-PL"/>
              </w:rPr>
            </w:pPr>
            <w:r w:rsidRPr="006352C7">
              <w:rPr>
                <w:rFonts w:cs="Times New Roman"/>
                <w:color w:val="000000"/>
                <w:lang w:eastAsia="pl-PL"/>
              </w:rPr>
              <w:t xml:space="preserve">Podniesienie zawieszenia </w:t>
            </w:r>
          </w:p>
        </w:tc>
      </w:tr>
      <w:tr w:rsidR="006A5031" w:rsidRPr="006352C7" w:rsidTr="00D809EE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507725" w:rsidP="0050772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lang w:val="en-US" w:eastAsia="pl-PL"/>
              </w:rPr>
            </w:pPr>
            <w:proofErr w:type="spellStart"/>
            <w:r w:rsidRPr="006352C7">
              <w:rPr>
                <w:rFonts w:cs="Times New Roman"/>
                <w:color w:val="000000"/>
                <w:lang w:val="en-US" w:eastAsia="pl-PL"/>
              </w:rPr>
              <w:t>Opony</w:t>
            </w:r>
            <w:proofErr w:type="spellEnd"/>
            <w:r w:rsidRPr="006352C7">
              <w:rPr>
                <w:rFonts w:cs="Times New Roman"/>
                <w:color w:val="000000"/>
                <w:lang w:val="en-US" w:eastAsia="pl-PL"/>
              </w:rPr>
              <w:t xml:space="preserve"> AT 5X285/70/R16, </w:t>
            </w:r>
            <w:r w:rsidR="00C76F96" w:rsidRPr="006352C7">
              <w:rPr>
                <w:rFonts w:cs="Times New Roman"/>
                <w:color w:val="000000"/>
                <w:lang w:val="en-US" w:eastAsia="pl-PL"/>
              </w:rPr>
              <w:t xml:space="preserve">AT 255/70 R17 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lang w:val="en-US"/>
              </w:rPr>
            </w:pPr>
          </w:p>
          <w:p w:rsidR="006A5031" w:rsidRPr="006352C7" w:rsidRDefault="006A5031" w:rsidP="00D809EE">
            <w:pPr>
              <w:rPr>
                <w:rFonts w:ascii="Times New Roman" w:hAnsi="Times New Roman" w:cs="Times New Roman"/>
                <w:lang w:val="en-US" w:eastAsia="zh-CN" w:bidi="hi-I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31" w:rsidRPr="006352C7" w:rsidRDefault="006A5031" w:rsidP="00A57EAB">
            <w:pPr>
              <w:pStyle w:val="TableContents"/>
              <w:snapToGrid w:val="0"/>
              <w:jc w:val="both"/>
              <w:rPr>
                <w:rFonts w:cs="Times New Roman"/>
                <w:b/>
                <w:color w:val="000000"/>
                <w:lang w:eastAsia="pl-PL"/>
              </w:rPr>
            </w:pPr>
            <w:r w:rsidRPr="006352C7">
              <w:rPr>
                <w:rFonts w:cs="Times New Roman"/>
                <w:b/>
                <w:color w:val="000000"/>
                <w:lang w:eastAsia="pl-PL"/>
              </w:rPr>
              <w:t>UWAGA : Sprzęt montowany w pojeździe  będzie transportowany zamiennie w zależności od potrzeb i z zachowaniem MMR pojazdu</w:t>
            </w:r>
          </w:p>
        </w:tc>
      </w:tr>
      <w:tr w:rsidR="006A5031" w:rsidRPr="006352C7" w:rsidTr="006A503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color w:val="000000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D809EE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6352C7">
              <w:rPr>
                <w:rFonts w:cs="Times New Roman"/>
                <w:b/>
              </w:rPr>
              <w:t>Pozostałe</w:t>
            </w:r>
            <w:r w:rsidRPr="006352C7">
              <w:rPr>
                <w:rFonts w:eastAsia="Times New Roman" w:cs="Times New Roman"/>
                <w:b/>
              </w:rPr>
              <w:t xml:space="preserve"> </w:t>
            </w:r>
            <w:r w:rsidRPr="006352C7">
              <w:rPr>
                <w:rFonts w:cs="Times New Roman"/>
                <w:b/>
              </w:rPr>
              <w:t>warunki</w:t>
            </w:r>
            <w:r w:rsidRPr="006352C7">
              <w:rPr>
                <w:rFonts w:eastAsia="Times New Roman" w:cs="Times New Roman"/>
                <w:b/>
              </w:rPr>
              <w:t xml:space="preserve"> </w:t>
            </w:r>
            <w:r w:rsidRPr="006352C7">
              <w:rPr>
                <w:rFonts w:cs="Times New Roman"/>
                <w:b/>
              </w:rPr>
              <w:t>Zamawiającego</w:t>
            </w:r>
          </w:p>
        </w:tc>
      </w:tr>
      <w:tr w:rsidR="006A5031" w:rsidRPr="006352C7" w:rsidTr="006A5031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Okres</w:t>
            </w:r>
            <w:r w:rsidRPr="006352C7">
              <w:rPr>
                <w:rFonts w:eastAsia="Times New Roman" w:cs="Times New Roman"/>
              </w:rPr>
              <w:t xml:space="preserve"> </w:t>
            </w:r>
            <w:r w:rsidRPr="006352C7">
              <w:rPr>
                <w:rFonts w:cs="Times New Roman"/>
              </w:rPr>
              <w:t>gwarancji</w:t>
            </w:r>
            <w:r w:rsidRPr="006352C7">
              <w:rPr>
                <w:rFonts w:eastAsia="Times New Roman" w:cs="Times New Roman"/>
              </w:rPr>
              <w:t>: minimum 2 lata bez limitu kilometrów</w:t>
            </w:r>
          </w:p>
        </w:tc>
      </w:tr>
      <w:tr w:rsidR="006A5031" w:rsidRPr="006352C7" w:rsidTr="006A5031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A57EAB">
            <w:pPr>
              <w:pStyle w:val="Standard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Zużycie paliwa w cyklu mieszanym: maksymalnie 10 l/100 km.</w:t>
            </w:r>
          </w:p>
          <w:p w:rsidR="006A5031" w:rsidRPr="006352C7" w:rsidRDefault="006A5031" w:rsidP="00A57EA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6A5031" w:rsidRPr="006352C7" w:rsidTr="006A5031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A57EAB">
            <w:pPr>
              <w:pStyle w:val="Standard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Wykonawca obowiązany jest do dostarczenia wraz z samochodem:</w:t>
            </w:r>
          </w:p>
          <w:p w:rsidR="006A5031" w:rsidRPr="006352C7" w:rsidRDefault="006A5031" w:rsidP="00A57EAB">
            <w:pPr>
              <w:pStyle w:val="Standard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- instrukcji obsługi samochodu w języku polskim,</w:t>
            </w:r>
          </w:p>
          <w:p w:rsidR="006A5031" w:rsidRPr="006352C7" w:rsidRDefault="006A5031" w:rsidP="00A57EAB">
            <w:pPr>
              <w:pStyle w:val="Standard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- dokumentacji niezbędnej do zarejestrowania samochodu jako pojazd specjalny.</w:t>
            </w:r>
          </w:p>
        </w:tc>
      </w:tr>
      <w:tr w:rsidR="006A5031" w:rsidRPr="006352C7" w:rsidTr="00D809EE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pStyle w:val="Standard"/>
              <w:jc w:val="both"/>
              <w:rPr>
                <w:rFonts w:cs="Times New Roman"/>
              </w:rPr>
            </w:pPr>
            <w:r w:rsidRPr="006352C7">
              <w:rPr>
                <w:rFonts w:cs="Times New Roman"/>
              </w:rPr>
              <w:t>Pojazd nie może być prototypem</w:t>
            </w:r>
          </w:p>
        </w:tc>
      </w:tr>
      <w:tr w:rsidR="006A5031" w:rsidRPr="00A57EAB" w:rsidTr="006A5031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31" w:rsidRPr="006352C7" w:rsidRDefault="006A5031" w:rsidP="00D809E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31" w:rsidRPr="006352C7" w:rsidRDefault="006A5031" w:rsidP="00A57EA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031" w:rsidRPr="006352C7" w:rsidRDefault="006A5031" w:rsidP="00A57E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Lekki samochód ratowniczo – gaśniczego stanowiący przedmiot zamówienia musi spełniać wymagania:</w:t>
            </w:r>
          </w:p>
          <w:p w:rsidR="006A5031" w:rsidRPr="006352C7" w:rsidRDefault="006A5031" w:rsidP="00A57EA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ind w:left="444" w:hanging="425"/>
              <w:contextualSpacing/>
              <w:jc w:val="both"/>
              <w:rPr>
                <w:rFonts w:ascii="Times New Roman" w:hAnsi="Times New Roman"/>
              </w:rPr>
            </w:pPr>
            <w:r w:rsidRPr="006352C7">
              <w:rPr>
                <w:rFonts w:ascii="Times New Roman" w:hAnsi="Times New Roman"/>
                <w:color w:val="000000"/>
              </w:rPr>
              <w:t xml:space="preserve">Ustawy z dnia 20 czerwca 1997r. Prawo o ruchu drogowym </w:t>
            </w:r>
            <w:r w:rsidRPr="006352C7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proofErr w:type="spellStart"/>
            <w:r w:rsidRPr="006352C7">
              <w:rPr>
                <w:rFonts w:ascii="Times New Roman" w:hAnsi="Times New Roman"/>
                <w:color w:val="333333"/>
                <w:shd w:val="clear" w:color="auto" w:fill="FFFFFF"/>
              </w:rPr>
              <w:t>t.j</w:t>
            </w:r>
            <w:proofErr w:type="spellEnd"/>
            <w:r w:rsidRPr="006352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Dz. U. z 2023 r. poz. 1047 z </w:t>
            </w:r>
            <w:proofErr w:type="spellStart"/>
            <w:r w:rsidRPr="006352C7">
              <w:rPr>
                <w:rFonts w:ascii="Times New Roman" w:hAnsi="Times New Roman"/>
                <w:color w:val="333333"/>
                <w:shd w:val="clear" w:color="auto" w:fill="FFFFFF"/>
              </w:rPr>
              <w:t>późn</w:t>
            </w:r>
            <w:proofErr w:type="spellEnd"/>
            <w:r w:rsidRPr="006352C7">
              <w:rPr>
                <w:rFonts w:ascii="Times New Roman" w:hAnsi="Times New Roman"/>
                <w:color w:val="333333"/>
                <w:shd w:val="clear" w:color="auto" w:fill="FFFFFF"/>
              </w:rPr>
              <w:t>. zm.).</w:t>
            </w:r>
            <w:r w:rsidRPr="006352C7">
              <w:rPr>
                <w:rFonts w:ascii="Times New Roman" w:hAnsi="Times New Roman"/>
                <w:color w:val="000000"/>
              </w:rPr>
              <w:t>, wraz z przepisami wykonawczymi do ustawy,</w:t>
            </w:r>
          </w:p>
          <w:p w:rsidR="006A5031" w:rsidRPr="006352C7" w:rsidRDefault="006A5031" w:rsidP="00A57EA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ind w:left="444" w:hanging="425"/>
              <w:contextualSpacing/>
              <w:jc w:val="both"/>
              <w:rPr>
                <w:rFonts w:ascii="Times New Roman" w:hAnsi="Times New Roman"/>
              </w:rPr>
            </w:pPr>
            <w:r w:rsidRPr="006352C7">
              <w:rPr>
                <w:rFonts w:ascii="Times New Roman" w:hAnsi="Times New Roman"/>
                <w:color w:val="000000"/>
              </w:rPr>
              <w:t xml:space="preserve">Rozporządzenia Ministra Infrastruktury z dnia 31 grudnia 2002 r. w sprawie warunków technicznych pojazdów oraz zakresu ich niezbędnego wyposażenia </w:t>
            </w:r>
            <w:r w:rsidRPr="006352C7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proofErr w:type="spellStart"/>
            <w:r w:rsidRPr="006352C7">
              <w:rPr>
                <w:rFonts w:ascii="Times New Roman" w:hAnsi="Times New Roman"/>
                <w:color w:val="333333"/>
                <w:shd w:val="clear" w:color="auto" w:fill="FFFFFF"/>
              </w:rPr>
              <w:t>t.j</w:t>
            </w:r>
            <w:proofErr w:type="spellEnd"/>
            <w:r w:rsidRPr="006352C7">
              <w:rPr>
                <w:rFonts w:ascii="Times New Roman" w:hAnsi="Times New Roman"/>
                <w:color w:val="333333"/>
                <w:shd w:val="clear" w:color="auto" w:fill="FFFFFF"/>
              </w:rPr>
              <w:t>. Dz. U. z 2024 r. poz. 502).</w:t>
            </w:r>
          </w:p>
          <w:p w:rsidR="006A5031" w:rsidRPr="006352C7" w:rsidRDefault="006A5031" w:rsidP="00A57EA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ind w:left="444" w:hanging="425"/>
              <w:contextualSpacing/>
              <w:jc w:val="both"/>
              <w:rPr>
                <w:rFonts w:ascii="Times New Roman" w:hAnsi="Times New Roman"/>
              </w:rPr>
            </w:pPr>
            <w:r w:rsidRPr="006352C7">
              <w:rPr>
                <w:rFonts w:ascii="Times New Roman" w:hAnsi="Times New Roman"/>
                <w:color w:val="000000"/>
              </w:rPr>
              <w:t xml:space="preserve">Rozporządzenia Ministra Spraw Wewnętrznych i Administracji z dnia 20 czerwca 2007r. w sprawie wykazu wyrobów służących zapewnieniu zasad bezpieczeństwa publicznego lub ochronie zdrowia i życia oraz mienia, a także zasad wydawania dopuszczenia tych wyrobów do użytkowania </w:t>
            </w:r>
            <w:r w:rsidRPr="006352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(Dz. U. Nr 143, poz. 1002 z </w:t>
            </w:r>
            <w:proofErr w:type="spellStart"/>
            <w:r w:rsidRPr="006352C7">
              <w:rPr>
                <w:rFonts w:ascii="Times New Roman" w:hAnsi="Times New Roman"/>
                <w:color w:val="333333"/>
                <w:shd w:val="clear" w:color="auto" w:fill="FFFFFF"/>
              </w:rPr>
              <w:t>późn</w:t>
            </w:r>
            <w:proofErr w:type="spellEnd"/>
            <w:r w:rsidRPr="006352C7">
              <w:rPr>
                <w:rFonts w:ascii="Times New Roman" w:hAnsi="Times New Roman"/>
                <w:color w:val="333333"/>
                <w:shd w:val="clear" w:color="auto" w:fill="FFFFFF"/>
              </w:rPr>
              <w:t>. zm.).</w:t>
            </w:r>
          </w:p>
          <w:p w:rsidR="006A5031" w:rsidRPr="006352C7" w:rsidRDefault="006A5031" w:rsidP="00A57EA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ind w:left="444" w:hanging="425"/>
              <w:contextualSpacing/>
              <w:jc w:val="both"/>
              <w:rPr>
                <w:rFonts w:ascii="Times New Roman" w:hAnsi="Times New Roman"/>
              </w:rPr>
            </w:pPr>
            <w:r w:rsidRPr="006352C7">
              <w:rPr>
                <w:rFonts w:ascii="Times New Roman" w:hAnsi="Times New Roman"/>
                <w:color w:val="000000"/>
              </w:rPr>
              <w:t>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(Dz.U. z 2019r., poz. 594),</w:t>
            </w:r>
          </w:p>
        </w:tc>
      </w:tr>
    </w:tbl>
    <w:p w:rsidR="00A57EAB" w:rsidRPr="00A57EAB" w:rsidRDefault="00A57EAB">
      <w:pPr>
        <w:jc w:val="both"/>
        <w:rPr>
          <w:rFonts w:ascii="Times New Roman" w:hAnsi="Times New Roman" w:cs="Times New Roman"/>
          <w:b/>
          <w:bCs/>
        </w:rPr>
      </w:pPr>
    </w:p>
    <w:sectPr w:rsidR="00A57EAB" w:rsidRPr="00A57EAB" w:rsidSect="006A50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charset w:val="01"/>
    <w:family w:val="auto"/>
    <w:pitch w:val="variable"/>
    <w:sig w:usb0="00000000" w:usb1="00000000" w:usb2="00000000" w:usb3="00000000" w:csb0="00000000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E041562"/>
    <w:multiLevelType w:val="hybridMultilevel"/>
    <w:tmpl w:val="06D0A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2EA53F3"/>
    <w:multiLevelType w:val="multilevel"/>
    <w:tmpl w:val="6B180F06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821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423445"/>
    <w:multiLevelType w:val="hybridMultilevel"/>
    <w:tmpl w:val="471C76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B9A2893"/>
    <w:multiLevelType w:val="hybridMultilevel"/>
    <w:tmpl w:val="78F019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21" w:hanging="679"/>
        </w:pPr>
        <w:rPr>
          <w:b/>
          <w:spacing w:val="2"/>
          <w:position w:val="0"/>
          <w:sz w:val="20"/>
          <w:szCs w:val="20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031"/>
    <w:rsid w:val="001053B2"/>
    <w:rsid w:val="001C5396"/>
    <w:rsid w:val="00225BA7"/>
    <w:rsid w:val="00256300"/>
    <w:rsid w:val="00446EDA"/>
    <w:rsid w:val="004F0E27"/>
    <w:rsid w:val="00507725"/>
    <w:rsid w:val="005A78E2"/>
    <w:rsid w:val="006352C7"/>
    <w:rsid w:val="006A5031"/>
    <w:rsid w:val="006D0A5B"/>
    <w:rsid w:val="00704201"/>
    <w:rsid w:val="008E63E9"/>
    <w:rsid w:val="009B6D15"/>
    <w:rsid w:val="00A57EAB"/>
    <w:rsid w:val="00B51A63"/>
    <w:rsid w:val="00C34188"/>
    <w:rsid w:val="00C76F96"/>
    <w:rsid w:val="00DD1830"/>
    <w:rsid w:val="00E4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A50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A5031"/>
    <w:pPr>
      <w:spacing w:after="200" w:line="276" w:lineRule="auto"/>
      <w:ind w:left="720"/>
    </w:pPr>
    <w:rPr>
      <w:rFonts w:ascii="Calibri" w:eastAsia="Calibri" w:hAnsi="Calibri" w:cs="Times New Roman"/>
      <w:kern w:val="0"/>
      <w:sz w:val="24"/>
      <w:szCs w:val="24"/>
    </w:rPr>
  </w:style>
  <w:style w:type="paragraph" w:customStyle="1" w:styleId="TableContents">
    <w:name w:val="Table Contents"/>
    <w:basedOn w:val="Standard"/>
    <w:rsid w:val="006A5031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6A5031"/>
    <w:rPr>
      <w:color w:val="0000FF"/>
      <w:u w:val="single" w:color="000000"/>
    </w:rPr>
  </w:style>
  <w:style w:type="numbering" w:customStyle="1" w:styleId="WW8Num2">
    <w:name w:val="WW8Num2"/>
    <w:rsid w:val="006A5031"/>
    <w:pPr>
      <w:numPr>
        <w:numId w:val="1"/>
      </w:numPr>
    </w:pPr>
  </w:style>
  <w:style w:type="numbering" w:customStyle="1" w:styleId="WW8Num4">
    <w:name w:val="WW8Num4"/>
    <w:rsid w:val="006A5031"/>
    <w:pPr>
      <w:numPr>
        <w:numId w:val="3"/>
      </w:numPr>
    </w:pPr>
  </w:style>
  <w:style w:type="numbering" w:customStyle="1" w:styleId="WW8Num3">
    <w:name w:val="WW8Num3"/>
    <w:rsid w:val="006A5031"/>
    <w:pPr>
      <w:numPr>
        <w:numId w:val="5"/>
      </w:numPr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A5031"/>
    <w:rPr>
      <w:rFonts w:ascii="Calibri" w:eastAsia="Calibri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19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20_czerw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20_czerwca" TargetMode="External"/><Relationship Id="rId5" Type="http://schemas.openxmlformats.org/officeDocument/2006/relationships/hyperlink" Target="http://pl.wikipedia.org/wiki/20_czerw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1543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Koloszko</dc:creator>
  <cp:keywords/>
  <dc:description/>
  <cp:lastModifiedBy>Magda</cp:lastModifiedBy>
  <cp:revision>5</cp:revision>
  <dcterms:created xsi:type="dcterms:W3CDTF">2024-10-14T08:54:00Z</dcterms:created>
  <dcterms:modified xsi:type="dcterms:W3CDTF">2024-10-16T14:46:00Z</dcterms:modified>
</cp:coreProperties>
</file>