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E579" w14:textId="77777777" w:rsidR="00C138C8" w:rsidRDefault="00C138C8">
      <w:pPr>
        <w:tabs>
          <w:tab w:val="left" w:pos="10005"/>
        </w:tabs>
        <w:ind w:firstLine="7920"/>
        <w:jc w:val="center"/>
        <w:rPr>
          <w:i/>
          <w:iCs/>
        </w:rPr>
      </w:pPr>
    </w:p>
    <w:tbl>
      <w:tblPr>
        <w:tblW w:w="14145" w:type="dxa"/>
        <w:tblInd w:w="108" w:type="dxa"/>
        <w:tblLayout w:type="fixed"/>
        <w:tblLook w:val="04A0" w:firstRow="1" w:lastRow="0" w:firstColumn="1" w:lastColumn="0" w:noHBand="0" w:noVBand="1"/>
      </w:tblPr>
      <w:tblGrid>
        <w:gridCol w:w="7072"/>
        <w:gridCol w:w="7073"/>
      </w:tblGrid>
      <w:tr w:rsidR="00C138C8" w14:paraId="03D2C4B0" w14:textId="77777777">
        <w:tc>
          <w:tcPr>
            <w:tcW w:w="7072" w:type="dxa"/>
          </w:tcPr>
          <w:p w14:paraId="56DA42F9" w14:textId="77777777" w:rsidR="00C138C8" w:rsidRDefault="00C138C8">
            <w:pPr>
              <w:widowControl w:val="0"/>
              <w:snapToGrid w:val="0"/>
              <w:spacing w:line="252" w:lineRule="auto"/>
              <w:rPr>
                <w:sz w:val="20"/>
                <w:szCs w:val="20"/>
              </w:rPr>
            </w:pPr>
          </w:p>
        </w:tc>
        <w:tc>
          <w:tcPr>
            <w:tcW w:w="7072" w:type="dxa"/>
          </w:tcPr>
          <w:p w14:paraId="0E483981" w14:textId="5A6E455A" w:rsidR="00C138C8" w:rsidRDefault="000C7A40">
            <w:pPr>
              <w:widowControl w:val="0"/>
              <w:snapToGrid w:val="0"/>
              <w:spacing w:line="252" w:lineRule="auto"/>
              <w:jc w:val="right"/>
              <w:rPr>
                <w:b/>
                <w:bCs/>
              </w:rPr>
            </w:pPr>
            <w:r>
              <w:rPr>
                <w:b/>
                <w:bCs/>
                <w:sz w:val="20"/>
                <w:szCs w:val="20"/>
              </w:rPr>
              <w:t>Sprawa Nr  61/D/2024</w:t>
            </w:r>
          </w:p>
        </w:tc>
      </w:tr>
    </w:tbl>
    <w:p w14:paraId="47D0379A" w14:textId="004D1CE7" w:rsidR="00C138C8" w:rsidRPr="00A320E6" w:rsidRDefault="000C7A40">
      <w:pPr>
        <w:jc w:val="center"/>
        <w:rPr>
          <w:b/>
          <w:bCs/>
          <w:color w:val="FF0000"/>
        </w:rPr>
      </w:pPr>
      <w:r w:rsidRPr="00A320E6">
        <w:rPr>
          <w:b/>
          <w:bCs/>
          <w:color w:val="FF0000"/>
          <w:spacing w:val="40"/>
          <w:sz w:val="20"/>
          <w:szCs w:val="20"/>
        </w:rPr>
        <w:t>ARKUSZ ASORTYMENTOWO-CENOWY</w:t>
      </w:r>
      <w:r w:rsidR="00A320E6" w:rsidRPr="00A320E6">
        <w:rPr>
          <w:b/>
          <w:bCs/>
          <w:color w:val="FF0000"/>
          <w:spacing w:val="40"/>
          <w:sz w:val="20"/>
          <w:szCs w:val="20"/>
        </w:rPr>
        <w:t>-PO ZMIAN</w:t>
      </w:r>
      <w:r w:rsidR="00C84294">
        <w:rPr>
          <w:b/>
          <w:bCs/>
          <w:color w:val="FF0000"/>
          <w:spacing w:val="40"/>
          <w:sz w:val="20"/>
          <w:szCs w:val="20"/>
        </w:rPr>
        <w:t>ACH</w:t>
      </w:r>
    </w:p>
    <w:tbl>
      <w:tblPr>
        <w:tblW w:w="14145" w:type="dxa"/>
        <w:tblInd w:w="108" w:type="dxa"/>
        <w:tblLayout w:type="fixed"/>
        <w:tblLook w:val="04A0" w:firstRow="1" w:lastRow="0" w:firstColumn="1" w:lastColumn="0" w:noHBand="0" w:noVBand="1"/>
      </w:tblPr>
      <w:tblGrid>
        <w:gridCol w:w="7072"/>
        <w:gridCol w:w="7073"/>
      </w:tblGrid>
      <w:tr w:rsidR="00C138C8" w14:paraId="118155E4" w14:textId="77777777">
        <w:tc>
          <w:tcPr>
            <w:tcW w:w="7072" w:type="dxa"/>
          </w:tcPr>
          <w:p w14:paraId="19F1FA78" w14:textId="77777777" w:rsidR="00C138C8" w:rsidRDefault="000C7A40">
            <w:pPr>
              <w:widowControl w:val="0"/>
              <w:snapToGrid w:val="0"/>
              <w:spacing w:line="252" w:lineRule="auto"/>
              <w:rPr>
                <w:b/>
                <w:bCs/>
              </w:rPr>
            </w:pPr>
            <w:r>
              <w:rPr>
                <w:b/>
                <w:bCs/>
                <w:sz w:val="20"/>
                <w:szCs w:val="20"/>
              </w:rPr>
              <w:t>CPV  33141613-0</w:t>
            </w:r>
          </w:p>
        </w:tc>
        <w:tc>
          <w:tcPr>
            <w:tcW w:w="7072" w:type="dxa"/>
          </w:tcPr>
          <w:p w14:paraId="621FFEA5" w14:textId="77777777" w:rsidR="00C138C8" w:rsidRDefault="000C7A40">
            <w:pPr>
              <w:widowControl w:val="0"/>
              <w:snapToGrid w:val="0"/>
              <w:spacing w:line="252" w:lineRule="auto"/>
              <w:jc w:val="right"/>
              <w:rPr>
                <w:b/>
                <w:bCs/>
                <w:sz w:val="20"/>
                <w:szCs w:val="20"/>
              </w:rPr>
            </w:pPr>
            <w:r>
              <w:rPr>
                <w:b/>
                <w:bCs/>
                <w:sz w:val="20"/>
                <w:szCs w:val="20"/>
              </w:rPr>
              <w:t>Załącznik Nr 2 do SWZ</w:t>
            </w:r>
          </w:p>
          <w:p w14:paraId="73229A2B" w14:textId="233DEEDB" w:rsidR="000C7A40" w:rsidRDefault="000C7A40">
            <w:pPr>
              <w:widowControl w:val="0"/>
              <w:snapToGrid w:val="0"/>
              <w:spacing w:line="252" w:lineRule="auto"/>
              <w:jc w:val="right"/>
              <w:rPr>
                <w:b/>
                <w:bCs/>
              </w:rPr>
            </w:pPr>
            <w:r>
              <w:rPr>
                <w:b/>
                <w:bCs/>
                <w:sz w:val="20"/>
                <w:szCs w:val="20"/>
              </w:rPr>
              <w:t>Załącznik Nr 1 do Umowy</w:t>
            </w:r>
          </w:p>
        </w:tc>
      </w:tr>
    </w:tbl>
    <w:p w14:paraId="29C8BF75" w14:textId="77777777" w:rsidR="00C138C8" w:rsidRDefault="00C138C8">
      <w:pPr>
        <w:rPr>
          <w:sz w:val="20"/>
          <w:szCs w:val="20"/>
        </w:rPr>
      </w:pPr>
    </w:p>
    <w:tbl>
      <w:tblPr>
        <w:tblW w:w="15975" w:type="dxa"/>
        <w:jc w:val="center"/>
        <w:tblLayout w:type="fixed"/>
        <w:tblLook w:val="04A0" w:firstRow="1" w:lastRow="0" w:firstColumn="1" w:lastColumn="0" w:noHBand="0" w:noVBand="1"/>
      </w:tblPr>
      <w:tblGrid>
        <w:gridCol w:w="3817"/>
        <w:gridCol w:w="1241"/>
        <w:gridCol w:w="1359"/>
        <w:gridCol w:w="1200"/>
        <w:gridCol w:w="1329"/>
        <w:gridCol w:w="1404"/>
        <w:gridCol w:w="931"/>
        <w:gridCol w:w="1147"/>
        <w:gridCol w:w="1465"/>
        <w:gridCol w:w="863"/>
        <w:gridCol w:w="1219"/>
      </w:tblGrid>
      <w:tr w:rsidR="00C138C8" w14:paraId="6D62102A" w14:textId="77777777">
        <w:trPr>
          <w:jc w:val="center"/>
        </w:trPr>
        <w:tc>
          <w:tcPr>
            <w:tcW w:w="3816" w:type="dxa"/>
            <w:tcBorders>
              <w:top w:val="double" w:sz="2" w:space="0" w:color="000000"/>
              <w:left w:val="double" w:sz="2" w:space="0" w:color="000000"/>
              <w:bottom w:val="single" w:sz="4" w:space="0" w:color="000000"/>
            </w:tcBorders>
            <w:vAlign w:val="center"/>
          </w:tcPr>
          <w:p w14:paraId="1565A4C1" w14:textId="77777777" w:rsidR="00C138C8" w:rsidRDefault="000C7A40">
            <w:pPr>
              <w:widowControl w:val="0"/>
              <w:snapToGrid w:val="0"/>
              <w:spacing w:line="252" w:lineRule="auto"/>
              <w:jc w:val="center"/>
              <w:rPr>
                <w:sz w:val="20"/>
                <w:szCs w:val="20"/>
              </w:rPr>
            </w:pPr>
            <w:r>
              <w:rPr>
                <w:sz w:val="20"/>
                <w:szCs w:val="20"/>
              </w:rPr>
              <w:t>Nazwa</w:t>
            </w:r>
          </w:p>
        </w:tc>
        <w:tc>
          <w:tcPr>
            <w:tcW w:w="1240" w:type="dxa"/>
            <w:tcBorders>
              <w:top w:val="double" w:sz="2" w:space="0" w:color="000000"/>
              <w:left w:val="single" w:sz="4" w:space="0" w:color="000000"/>
              <w:bottom w:val="single" w:sz="4" w:space="0" w:color="000000"/>
            </w:tcBorders>
            <w:vAlign w:val="center"/>
          </w:tcPr>
          <w:p w14:paraId="776E2AE5" w14:textId="77777777" w:rsidR="00C138C8" w:rsidRDefault="000C7A40">
            <w:pPr>
              <w:widowControl w:val="0"/>
              <w:snapToGrid w:val="0"/>
              <w:spacing w:line="252" w:lineRule="auto"/>
              <w:jc w:val="center"/>
              <w:rPr>
                <w:sz w:val="20"/>
                <w:szCs w:val="20"/>
              </w:rPr>
            </w:pPr>
            <w:r>
              <w:rPr>
                <w:sz w:val="20"/>
                <w:szCs w:val="20"/>
              </w:rPr>
              <w:t>Nazwa handlowa</w:t>
            </w:r>
          </w:p>
        </w:tc>
        <w:tc>
          <w:tcPr>
            <w:tcW w:w="1359" w:type="dxa"/>
            <w:tcBorders>
              <w:top w:val="double" w:sz="2" w:space="0" w:color="000000"/>
              <w:left w:val="single" w:sz="4" w:space="0" w:color="000000"/>
              <w:bottom w:val="single" w:sz="4" w:space="0" w:color="000000"/>
            </w:tcBorders>
            <w:vAlign w:val="center"/>
          </w:tcPr>
          <w:p w14:paraId="58708887" w14:textId="77777777" w:rsidR="00C138C8" w:rsidRDefault="000C7A40">
            <w:pPr>
              <w:widowControl w:val="0"/>
              <w:snapToGrid w:val="0"/>
              <w:spacing w:line="252" w:lineRule="auto"/>
              <w:jc w:val="center"/>
              <w:rPr>
                <w:sz w:val="20"/>
                <w:szCs w:val="20"/>
              </w:rPr>
            </w:pPr>
            <w:r>
              <w:rPr>
                <w:sz w:val="20"/>
                <w:szCs w:val="20"/>
              </w:rPr>
              <w:t>Wielkość opakowania zbiorczego</w:t>
            </w:r>
          </w:p>
        </w:tc>
        <w:tc>
          <w:tcPr>
            <w:tcW w:w="1200" w:type="dxa"/>
            <w:tcBorders>
              <w:top w:val="double" w:sz="2" w:space="0" w:color="000000"/>
              <w:left w:val="single" w:sz="4" w:space="0" w:color="000000"/>
              <w:bottom w:val="single" w:sz="4" w:space="0" w:color="000000"/>
            </w:tcBorders>
            <w:vAlign w:val="center"/>
          </w:tcPr>
          <w:p w14:paraId="70328E43" w14:textId="77777777" w:rsidR="00C138C8" w:rsidRDefault="000C7A40">
            <w:pPr>
              <w:widowControl w:val="0"/>
              <w:snapToGrid w:val="0"/>
              <w:spacing w:line="252" w:lineRule="auto"/>
              <w:jc w:val="center"/>
              <w:rPr>
                <w:sz w:val="20"/>
                <w:szCs w:val="20"/>
              </w:rPr>
            </w:pPr>
            <w:r>
              <w:rPr>
                <w:sz w:val="20"/>
                <w:szCs w:val="20"/>
              </w:rPr>
              <w:t>Producent</w:t>
            </w:r>
          </w:p>
        </w:tc>
        <w:tc>
          <w:tcPr>
            <w:tcW w:w="1329" w:type="dxa"/>
            <w:tcBorders>
              <w:top w:val="double" w:sz="2" w:space="0" w:color="000000"/>
              <w:left w:val="single" w:sz="4" w:space="0" w:color="000000"/>
              <w:bottom w:val="single" w:sz="4" w:space="0" w:color="000000"/>
            </w:tcBorders>
            <w:vAlign w:val="center"/>
          </w:tcPr>
          <w:p w14:paraId="5E889DC5" w14:textId="77777777" w:rsidR="00C138C8" w:rsidRDefault="000C7A40">
            <w:pPr>
              <w:widowControl w:val="0"/>
              <w:snapToGrid w:val="0"/>
              <w:spacing w:line="252" w:lineRule="auto"/>
              <w:jc w:val="center"/>
              <w:rPr>
                <w:sz w:val="20"/>
                <w:szCs w:val="20"/>
              </w:rPr>
            </w:pPr>
            <w:r>
              <w:rPr>
                <w:sz w:val="20"/>
                <w:szCs w:val="20"/>
              </w:rPr>
              <w:t>Kraj pochodzenia</w:t>
            </w:r>
          </w:p>
        </w:tc>
        <w:tc>
          <w:tcPr>
            <w:tcW w:w="1404" w:type="dxa"/>
            <w:tcBorders>
              <w:top w:val="double" w:sz="2" w:space="0" w:color="000000"/>
              <w:left w:val="single" w:sz="4" w:space="0" w:color="000000"/>
              <w:bottom w:val="single" w:sz="4" w:space="0" w:color="000000"/>
            </w:tcBorders>
            <w:vAlign w:val="center"/>
          </w:tcPr>
          <w:p w14:paraId="3A196B1B" w14:textId="77777777" w:rsidR="00C138C8" w:rsidRDefault="000C7A40">
            <w:pPr>
              <w:widowControl w:val="0"/>
              <w:snapToGrid w:val="0"/>
              <w:spacing w:line="252" w:lineRule="auto"/>
              <w:jc w:val="center"/>
              <w:rPr>
                <w:sz w:val="20"/>
                <w:szCs w:val="20"/>
              </w:rPr>
            </w:pPr>
            <w:r>
              <w:rPr>
                <w:sz w:val="20"/>
                <w:szCs w:val="20"/>
              </w:rPr>
              <w:t>JM</w:t>
            </w:r>
          </w:p>
        </w:tc>
        <w:tc>
          <w:tcPr>
            <w:tcW w:w="931" w:type="dxa"/>
            <w:tcBorders>
              <w:top w:val="double" w:sz="2" w:space="0" w:color="000000"/>
              <w:left w:val="single" w:sz="4" w:space="0" w:color="000000"/>
              <w:bottom w:val="single" w:sz="4" w:space="0" w:color="000000"/>
            </w:tcBorders>
            <w:vAlign w:val="center"/>
          </w:tcPr>
          <w:p w14:paraId="7C2EAACB" w14:textId="77777777" w:rsidR="00C138C8" w:rsidRDefault="000C7A40">
            <w:pPr>
              <w:widowControl w:val="0"/>
              <w:snapToGrid w:val="0"/>
              <w:spacing w:line="252" w:lineRule="auto"/>
              <w:jc w:val="center"/>
              <w:rPr>
                <w:sz w:val="20"/>
                <w:szCs w:val="20"/>
              </w:rPr>
            </w:pPr>
            <w:r>
              <w:rPr>
                <w:sz w:val="20"/>
                <w:szCs w:val="20"/>
              </w:rPr>
              <w:t>Ilość</w:t>
            </w:r>
          </w:p>
        </w:tc>
        <w:tc>
          <w:tcPr>
            <w:tcW w:w="1147" w:type="dxa"/>
            <w:tcBorders>
              <w:top w:val="double" w:sz="2" w:space="0" w:color="000000"/>
              <w:left w:val="single" w:sz="4" w:space="0" w:color="000000"/>
              <w:bottom w:val="single" w:sz="4" w:space="0" w:color="000000"/>
            </w:tcBorders>
            <w:vAlign w:val="center"/>
          </w:tcPr>
          <w:p w14:paraId="255B3299" w14:textId="77777777" w:rsidR="00C138C8" w:rsidRDefault="000C7A40">
            <w:pPr>
              <w:widowControl w:val="0"/>
              <w:snapToGrid w:val="0"/>
              <w:spacing w:line="252" w:lineRule="auto"/>
              <w:jc w:val="center"/>
              <w:rPr>
                <w:sz w:val="20"/>
                <w:szCs w:val="20"/>
              </w:rPr>
            </w:pPr>
            <w:r>
              <w:rPr>
                <w:sz w:val="20"/>
                <w:szCs w:val="20"/>
              </w:rPr>
              <w:t>Cena jedn. netto (</w:t>
            </w:r>
            <w:proofErr w:type="spellStart"/>
            <w:r>
              <w:rPr>
                <w:sz w:val="20"/>
                <w:szCs w:val="20"/>
              </w:rPr>
              <w:t>pln</w:t>
            </w:r>
            <w:proofErr w:type="spellEnd"/>
            <w:r>
              <w:rPr>
                <w:sz w:val="20"/>
                <w:szCs w:val="20"/>
              </w:rPr>
              <w:t>)</w:t>
            </w:r>
          </w:p>
        </w:tc>
        <w:tc>
          <w:tcPr>
            <w:tcW w:w="1465" w:type="dxa"/>
            <w:tcBorders>
              <w:top w:val="double" w:sz="2" w:space="0" w:color="000000"/>
              <w:left w:val="single" w:sz="4" w:space="0" w:color="000000"/>
              <w:bottom w:val="single" w:sz="4" w:space="0" w:color="000000"/>
            </w:tcBorders>
            <w:vAlign w:val="center"/>
          </w:tcPr>
          <w:p w14:paraId="36B0CD02" w14:textId="77777777" w:rsidR="00C138C8" w:rsidRDefault="000C7A40">
            <w:pPr>
              <w:widowControl w:val="0"/>
              <w:snapToGrid w:val="0"/>
              <w:spacing w:line="252" w:lineRule="auto"/>
              <w:jc w:val="center"/>
              <w:rPr>
                <w:sz w:val="20"/>
                <w:szCs w:val="20"/>
              </w:rPr>
            </w:pPr>
            <w:r>
              <w:rPr>
                <w:sz w:val="20"/>
                <w:szCs w:val="20"/>
              </w:rPr>
              <w:t>Wartość netto (</w:t>
            </w:r>
            <w:proofErr w:type="spellStart"/>
            <w:r>
              <w:rPr>
                <w:sz w:val="20"/>
                <w:szCs w:val="20"/>
              </w:rPr>
              <w:t>pln</w:t>
            </w:r>
            <w:proofErr w:type="spellEnd"/>
            <w:r>
              <w:rPr>
                <w:sz w:val="20"/>
                <w:szCs w:val="20"/>
              </w:rPr>
              <w:t>)</w:t>
            </w:r>
          </w:p>
        </w:tc>
        <w:tc>
          <w:tcPr>
            <w:tcW w:w="863" w:type="dxa"/>
            <w:tcBorders>
              <w:top w:val="double" w:sz="2" w:space="0" w:color="000000"/>
              <w:left w:val="single" w:sz="4" w:space="0" w:color="000000"/>
              <w:bottom w:val="single" w:sz="4" w:space="0" w:color="000000"/>
            </w:tcBorders>
            <w:vAlign w:val="center"/>
          </w:tcPr>
          <w:p w14:paraId="37B58CC2" w14:textId="77777777" w:rsidR="00C138C8" w:rsidRDefault="000C7A40">
            <w:pPr>
              <w:widowControl w:val="0"/>
              <w:snapToGrid w:val="0"/>
              <w:spacing w:line="252" w:lineRule="auto"/>
              <w:jc w:val="center"/>
              <w:rPr>
                <w:sz w:val="20"/>
                <w:szCs w:val="20"/>
              </w:rPr>
            </w:pPr>
            <w:r>
              <w:rPr>
                <w:sz w:val="20"/>
                <w:szCs w:val="20"/>
              </w:rPr>
              <w:t>Stawka VAT</w:t>
            </w:r>
          </w:p>
        </w:tc>
        <w:tc>
          <w:tcPr>
            <w:tcW w:w="1219" w:type="dxa"/>
            <w:tcBorders>
              <w:top w:val="double" w:sz="2" w:space="0" w:color="000000"/>
              <w:left w:val="single" w:sz="4" w:space="0" w:color="000000"/>
              <w:bottom w:val="single" w:sz="4" w:space="0" w:color="000000"/>
              <w:right w:val="double" w:sz="2" w:space="0" w:color="000000"/>
            </w:tcBorders>
            <w:vAlign w:val="center"/>
          </w:tcPr>
          <w:p w14:paraId="4AE5CFCF" w14:textId="77777777" w:rsidR="00C138C8" w:rsidRDefault="000C7A40">
            <w:pPr>
              <w:widowControl w:val="0"/>
              <w:snapToGrid w:val="0"/>
              <w:spacing w:line="252" w:lineRule="auto"/>
              <w:jc w:val="center"/>
              <w:rPr>
                <w:sz w:val="20"/>
                <w:szCs w:val="20"/>
              </w:rPr>
            </w:pPr>
            <w:r>
              <w:rPr>
                <w:sz w:val="20"/>
                <w:szCs w:val="20"/>
              </w:rPr>
              <w:t>Wartość brutto (</w:t>
            </w:r>
            <w:proofErr w:type="spellStart"/>
            <w:r>
              <w:rPr>
                <w:sz w:val="20"/>
                <w:szCs w:val="20"/>
              </w:rPr>
              <w:t>pln</w:t>
            </w:r>
            <w:proofErr w:type="spellEnd"/>
            <w:r>
              <w:rPr>
                <w:sz w:val="20"/>
                <w:szCs w:val="20"/>
              </w:rPr>
              <w:t>)</w:t>
            </w:r>
          </w:p>
        </w:tc>
      </w:tr>
      <w:tr w:rsidR="00C138C8" w14:paraId="3DF941A3" w14:textId="77777777">
        <w:trPr>
          <w:trHeight w:val="1065"/>
          <w:jc w:val="center"/>
        </w:trPr>
        <w:tc>
          <w:tcPr>
            <w:tcW w:w="3816" w:type="dxa"/>
            <w:tcBorders>
              <w:top w:val="single" w:sz="4" w:space="0" w:color="000000"/>
              <w:left w:val="double" w:sz="2" w:space="0" w:color="000000"/>
            </w:tcBorders>
            <w:vAlign w:val="center"/>
          </w:tcPr>
          <w:p w14:paraId="6612FE89" w14:textId="77777777" w:rsidR="00C138C8" w:rsidRDefault="000C7A40">
            <w:pPr>
              <w:widowControl w:val="0"/>
              <w:snapToGrid w:val="0"/>
              <w:spacing w:line="252" w:lineRule="auto"/>
              <w:rPr>
                <w:b/>
                <w:sz w:val="20"/>
                <w:szCs w:val="20"/>
              </w:rPr>
            </w:pPr>
            <w:r>
              <w:rPr>
                <w:b/>
                <w:sz w:val="20"/>
                <w:szCs w:val="20"/>
              </w:rPr>
              <w:t>Pojemniki potrójne góra-dół do pobierania krwi</w:t>
            </w:r>
          </w:p>
        </w:tc>
        <w:tc>
          <w:tcPr>
            <w:tcW w:w="1240" w:type="dxa"/>
            <w:tcBorders>
              <w:top w:val="single" w:sz="4" w:space="0" w:color="000000"/>
              <w:left w:val="single" w:sz="4" w:space="0" w:color="000000"/>
              <w:bottom w:val="single" w:sz="4" w:space="0" w:color="000000"/>
            </w:tcBorders>
            <w:vAlign w:val="center"/>
          </w:tcPr>
          <w:p w14:paraId="01BBC18A" w14:textId="77777777" w:rsidR="00C138C8" w:rsidRDefault="00C138C8">
            <w:pPr>
              <w:widowControl w:val="0"/>
              <w:snapToGrid w:val="0"/>
              <w:spacing w:line="252" w:lineRule="auto"/>
              <w:rPr>
                <w:sz w:val="20"/>
                <w:szCs w:val="20"/>
              </w:rPr>
            </w:pPr>
          </w:p>
        </w:tc>
        <w:tc>
          <w:tcPr>
            <w:tcW w:w="1359" w:type="dxa"/>
            <w:tcBorders>
              <w:top w:val="single" w:sz="4" w:space="0" w:color="000000"/>
              <w:left w:val="single" w:sz="4" w:space="0" w:color="000000"/>
              <w:bottom w:val="single" w:sz="4" w:space="0" w:color="000000"/>
            </w:tcBorders>
            <w:vAlign w:val="center"/>
          </w:tcPr>
          <w:p w14:paraId="1AFC7099" w14:textId="77777777" w:rsidR="00C138C8" w:rsidRDefault="00C138C8">
            <w:pPr>
              <w:widowControl w:val="0"/>
              <w:snapToGrid w:val="0"/>
              <w:spacing w:line="252" w:lineRule="auto"/>
              <w:rPr>
                <w:sz w:val="20"/>
                <w:szCs w:val="20"/>
              </w:rPr>
            </w:pPr>
          </w:p>
        </w:tc>
        <w:tc>
          <w:tcPr>
            <w:tcW w:w="1200" w:type="dxa"/>
            <w:tcBorders>
              <w:top w:val="single" w:sz="4" w:space="0" w:color="000000"/>
              <w:left w:val="single" w:sz="4" w:space="0" w:color="000000"/>
              <w:bottom w:val="single" w:sz="4" w:space="0" w:color="000000"/>
            </w:tcBorders>
            <w:vAlign w:val="center"/>
          </w:tcPr>
          <w:p w14:paraId="61787087" w14:textId="77777777" w:rsidR="00C138C8" w:rsidRDefault="00C138C8">
            <w:pPr>
              <w:widowControl w:val="0"/>
              <w:snapToGrid w:val="0"/>
              <w:spacing w:line="252" w:lineRule="auto"/>
              <w:rPr>
                <w:sz w:val="20"/>
                <w:szCs w:val="20"/>
              </w:rPr>
            </w:pPr>
          </w:p>
        </w:tc>
        <w:tc>
          <w:tcPr>
            <w:tcW w:w="1329" w:type="dxa"/>
            <w:tcBorders>
              <w:top w:val="single" w:sz="4" w:space="0" w:color="000000"/>
              <w:left w:val="single" w:sz="4" w:space="0" w:color="000000"/>
              <w:bottom w:val="single" w:sz="4" w:space="0" w:color="000000"/>
            </w:tcBorders>
            <w:vAlign w:val="center"/>
          </w:tcPr>
          <w:p w14:paraId="6481DECE" w14:textId="77777777" w:rsidR="00C138C8" w:rsidRDefault="00C138C8">
            <w:pPr>
              <w:widowControl w:val="0"/>
              <w:snapToGrid w:val="0"/>
              <w:spacing w:line="252" w:lineRule="auto"/>
              <w:rPr>
                <w:sz w:val="20"/>
                <w:szCs w:val="20"/>
              </w:rPr>
            </w:pPr>
          </w:p>
        </w:tc>
        <w:tc>
          <w:tcPr>
            <w:tcW w:w="1404" w:type="dxa"/>
            <w:tcBorders>
              <w:top w:val="single" w:sz="4" w:space="0" w:color="000000"/>
              <w:left w:val="single" w:sz="4" w:space="0" w:color="000000"/>
              <w:bottom w:val="single" w:sz="4" w:space="0" w:color="000000"/>
            </w:tcBorders>
            <w:vAlign w:val="center"/>
          </w:tcPr>
          <w:p w14:paraId="654D7706" w14:textId="77777777" w:rsidR="00C138C8" w:rsidRDefault="000C7A40">
            <w:pPr>
              <w:widowControl w:val="0"/>
              <w:snapToGrid w:val="0"/>
              <w:spacing w:line="252" w:lineRule="auto"/>
              <w:jc w:val="center"/>
              <w:rPr>
                <w:sz w:val="20"/>
                <w:szCs w:val="20"/>
              </w:rPr>
            </w:pPr>
            <w:r>
              <w:rPr>
                <w:sz w:val="20"/>
                <w:szCs w:val="20"/>
              </w:rPr>
              <w:t>sztuka</w:t>
            </w:r>
          </w:p>
        </w:tc>
        <w:tc>
          <w:tcPr>
            <w:tcW w:w="931" w:type="dxa"/>
            <w:tcBorders>
              <w:top w:val="single" w:sz="4" w:space="0" w:color="000000"/>
              <w:left w:val="single" w:sz="4" w:space="0" w:color="000000"/>
              <w:bottom w:val="single" w:sz="4" w:space="0" w:color="000000"/>
            </w:tcBorders>
            <w:vAlign w:val="center"/>
          </w:tcPr>
          <w:p w14:paraId="67DC1A7D" w14:textId="55C56E58" w:rsidR="00C138C8" w:rsidRPr="00C37894" w:rsidRDefault="00C37894">
            <w:pPr>
              <w:widowControl w:val="0"/>
              <w:snapToGrid w:val="0"/>
              <w:spacing w:line="252" w:lineRule="auto"/>
              <w:jc w:val="center"/>
              <w:rPr>
                <w:bCs/>
                <w:sz w:val="20"/>
                <w:szCs w:val="20"/>
              </w:rPr>
            </w:pPr>
            <w:r w:rsidRPr="00C37894">
              <w:rPr>
                <w:bCs/>
                <w:sz w:val="20"/>
                <w:szCs w:val="20"/>
              </w:rPr>
              <w:t>32 460</w:t>
            </w:r>
          </w:p>
        </w:tc>
        <w:tc>
          <w:tcPr>
            <w:tcW w:w="1147" w:type="dxa"/>
            <w:tcBorders>
              <w:top w:val="single" w:sz="4" w:space="0" w:color="000000"/>
              <w:left w:val="single" w:sz="4" w:space="0" w:color="000000"/>
              <w:bottom w:val="single" w:sz="4" w:space="0" w:color="000000"/>
            </w:tcBorders>
            <w:vAlign w:val="center"/>
          </w:tcPr>
          <w:p w14:paraId="01F10A2D" w14:textId="77777777" w:rsidR="00C138C8" w:rsidRDefault="00C138C8">
            <w:pPr>
              <w:widowControl w:val="0"/>
              <w:snapToGrid w:val="0"/>
              <w:spacing w:line="252" w:lineRule="auto"/>
              <w:rPr>
                <w:sz w:val="20"/>
                <w:szCs w:val="20"/>
              </w:rPr>
            </w:pPr>
          </w:p>
        </w:tc>
        <w:tc>
          <w:tcPr>
            <w:tcW w:w="1465" w:type="dxa"/>
            <w:tcBorders>
              <w:top w:val="single" w:sz="4" w:space="0" w:color="000000"/>
              <w:left w:val="single" w:sz="4" w:space="0" w:color="000000"/>
              <w:bottom w:val="single" w:sz="4" w:space="0" w:color="000000"/>
            </w:tcBorders>
            <w:vAlign w:val="center"/>
          </w:tcPr>
          <w:p w14:paraId="17200EE2" w14:textId="77777777" w:rsidR="00C138C8" w:rsidRDefault="00C138C8">
            <w:pPr>
              <w:widowControl w:val="0"/>
              <w:snapToGrid w:val="0"/>
              <w:spacing w:line="252" w:lineRule="auto"/>
              <w:jc w:val="right"/>
              <w:rPr>
                <w:sz w:val="20"/>
                <w:szCs w:val="20"/>
              </w:rPr>
            </w:pPr>
          </w:p>
        </w:tc>
        <w:tc>
          <w:tcPr>
            <w:tcW w:w="863" w:type="dxa"/>
            <w:tcBorders>
              <w:top w:val="single" w:sz="4" w:space="0" w:color="000000"/>
              <w:left w:val="single" w:sz="4" w:space="0" w:color="000000"/>
              <w:bottom w:val="single" w:sz="4" w:space="0" w:color="000000"/>
            </w:tcBorders>
            <w:vAlign w:val="center"/>
          </w:tcPr>
          <w:p w14:paraId="43E79FDD" w14:textId="77777777" w:rsidR="00C138C8" w:rsidRDefault="00C138C8">
            <w:pPr>
              <w:widowControl w:val="0"/>
              <w:snapToGrid w:val="0"/>
              <w:spacing w:line="252" w:lineRule="auto"/>
              <w:rPr>
                <w:sz w:val="20"/>
                <w:szCs w:val="20"/>
              </w:rPr>
            </w:pPr>
          </w:p>
        </w:tc>
        <w:tc>
          <w:tcPr>
            <w:tcW w:w="1219" w:type="dxa"/>
            <w:tcBorders>
              <w:top w:val="single" w:sz="4" w:space="0" w:color="000000"/>
              <w:left w:val="single" w:sz="4" w:space="0" w:color="000000"/>
              <w:bottom w:val="single" w:sz="4" w:space="0" w:color="000000"/>
              <w:right w:val="double" w:sz="2" w:space="0" w:color="000000"/>
            </w:tcBorders>
            <w:vAlign w:val="center"/>
          </w:tcPr>
          <w:p w14:paraId="27ECAEC3" w14:textId="77777777" w:rsidR="00C138C8" w:rsidRDefault="00C138C8">
            <w:pPr>
              <w:widowControl w:val="0"/>
              <w:snapToGrid w:val="0"/>
              <w:spacing w:line="252" w:lineRule="auto"/>
              <w:jc w:val="right"/>
              <w:rPr>
                <w:sz w:val="20"/>
                <w:szCs w:val="20"/>
              </w:rPr>
            </w:pPr>
          </w:p>
        </w:tc>
      </w:tr>
      <w:tr w:rsidR="00C138C8" w14:paraId="30833800" w14:textId="77777777">
        <w:trPr>
          <w:trHeight w:val="3424"/>
          <w:jc w:val="center"/>
        </w:trPr>
        <w:tc>
          <w:tcPr>
            <w:tcW w:w="15973" w:type="dxa"/>
            <w:gridSpan w:val="11"/>
            <w:tcBorders>
              <w:left w:val="double" w:sz="2" w:space="0" w:color="000000"/>
              <w:right w:val="double" w:sz="2" w:space="0" w:color="000000"/>
            </w:tcBorders>
            <w:vAlign w:val="center"/>
          </w:tcPr>
          <w:p w14:paraId="1E57D90B" w14:textId="77777777" w:rsidR="00C138C8" w:rsidRDefault="000C7A40">
            <w:pPr>
              <w:widowControl w:val="0"/>
              <w:snapToGrid w:val="0"/>
              <w:spacing w:line="252" w:lineRule="auto"/>
              <w:jc w:val="both"/>
              <w:rPr>
                <w:color w:val="000000"/>
                <w:sz w:val="20"/>
                <w:szCs w:val="20"/>
              </w:rPr>
            </w:pPr>
            <w:r>
              <w:rPr>
                <w:color w:val="000000"/>
                <w:sz w:val="20"/>
                <w:szCs w:val="20"/>
              </w:rPr>
              <w:t>Opis przedmiotu zamówienia</w:t>
            </w:r>
          </w:p>
          <w:p w14:paraId="2B2E31C5" w14:textId="41799B61" w:rsidR="00C138C8" w:rsidRDefault="000C7A40">
            <w:pPr>
              <w:widowControl w:val="0"/>
              <w:numPr>
                <w:ilvl w:val="0"/>
                <w:numId w:val="2"/>
              </w:numPr>
              <w:tabs>
                <w:tab w:val="left" w:pos="10345"/>
              </w:tabs>
              <w:spacing w:line="252" w:lineRule="auto"/>
              <w:ind w:left="340" w:hanging="340"/>
              <w:jc w:val="both"/>
              <w:rPr>
                <w:color w:val="000000"/>
                <w:sz w:val="20"/>
                <w:szCs w:val="20"/>
              </w:rPr>
            </w:pPr>
            <w:r>
              <w:rPr>
                <w:color w:val="000000"/>
                <w:sz w:val="20"/>
                <w:szCs w:val="20"/>
              </w:rPr>
              <w:t xml:space="preserve">Pojemniki do pobierania krwi, do otrzymywania koncentratu krwinek czerwonych bez kożuszka </w:t>
            </w:r>
            <w:proofErr w:type="spellStart"/>
            <w:r>
              <w:rPr>
                <w:color w:val="000000"/>
                <w:sz w:val="20"/>
                <w:szCs w:val="20"/>
              </w:rPr>
              <w:t>leukocytarno</w:t>
            </w:r>
            <w:proofErr w:type="spellEnd"/>
            <w:r>
              <w:rPr>
                <w:color w:val="000000"/>
                <w:sz w:val="20"/>
                <w:szCs w:val="20"/>
              </w:rPr>
              <w:t xml:space="preserve">-płytkowego w roztworze wzbogacającym, osocza świeżo mrożonego (możliwe do otrzymywania koncentratu krwinek płytkowych z kożuszka), zestaw zamknięty, sterylny, </w:t>
            </w:r>
            <w:proofErr w:type="spellStart"/>
            <w:r>
              <w:rPr>
                <w:color w:val="000000"/>
                <w:sz w:val="20"/>
                <w:szCs w:val="20"/>
              </w:rPr>
              <w:t>apirogenny</w:t>
            </w:r>
            <w:proofErr w:type="spellEnd"/>
            <w:r>
              <w:rPr>
                <w:color w:val="000000"/>
                <w:sz w:val="20"/>
                <w:szCs w:val="20"/>
              </w:rPr>
              <w:t>, zapewniający kontrolowany, zamknięty system przepływu między pojemnikami. Zestaw musi posiadać oznakowanie CE. Zamawiający dopuszcza pojemniki, w których po zakończeniu procesu produkcji znajdują się pojedyncze krople płynu będącego pozostałością po sterylizacji.</w:t>
            </w:r>
          </w:p>
          <w:p w14:paraId="263823F1" w14:textId="572BD721" w:rsidR="00C138C8" w:rsidRDefault="000C7A40">
            <w:pPr>
              <w:widowControl w:val="0"/>
              <w:numPr>
                <w:ilvl w:val="0"/>
                <w:numId w:val="3"/>
              </w:numPr>
              <w:tabs>
                <w:tab w:val="left" w:pos="10345"/>
              </w:tabs>
              <w:spacing w:line="252" w:lineRule="auto"/>
              <w:ind w:left="340" w:hanging="340"/>
              <w:jc w:val="both"/>
              <w:rPr>
                <w:color w:val="000000"/>
                <w:sz w:val="20"/>
                <w:szCs w:val="20"/>
              </w:rPr>
            </w:pPr>
            <w:r>
              <w:rPr>
                <w:color w:val="000000"/>
                <w:sz w:val="20"/>
                <w:szCs w:val="20"/>
              </w:rPr>
              <w:t>Pusty pojemnik górny o pojemności max. 600ml, min. 500 ml, pojemnik środkowy z 63ml CPD do pobierania 450ml krwi oraz pojemnik dolny zawierający 105 ml+/- 5 ml płynu SAGM lub ADSOL o pojemności max 600 ml, min. 500 ml.</w:t>
            </w:r>
          </w:p>
          <w:p w14:paraId="52C79211" w14:textId="77777777" w:rsidR="00C138C8" w:rsidRDefault="000C7A40">
            <w:pPr>
              <w:widowControl w:val="0"/>
              <w:numPr>
                <w:ilvl w:val="0"/>
                <w:numId w:val="4"/>
              </w:numPr>
              <w:tabs>
                <w:tab w:val="left" w:pos="10345"/>
              </w:tabs>
              <w:spacing w:line="252" w:lineRule="auto"/>
              <w:ind w:left="340" w:hanging="340"/>
              <w:jc w:val="both"/>
              <w:rPr>
                <w:color w:val="000000"/>
                <w:sz w:val="20"/>
                <w:szCs w:val="20"/>
              </w:rPr>
            </w:pPr>
            <w:r>
              <w:rPr>
                <w:color w:val="000000"/>
                <w:sz w:val="20"/>
                <w:szCs w:val="20"/>
              </w:rPr>
              <w:t>Pojemniki muszą być odporne na wirowanie z przyspieszeniem minimum 5000xg (w czasie 10 minut) przy objętości pobranej krwi 450 ml +/- 10%.</w:t>
            </w:r>
          </w:p>
          <w:p w14:paraId="4D3B74E2" w14:textId="4F4209C9" w:rsidR="00C138C8" w:rsidRDefault="000C7A40">
            <w:pPr>
              <w:widowControl w:val="0"/>
              <w:numPr>
                <w:ilvl w:val="0"/>
                <w:numId w:val="5"/>
              </w:numPr>
              <w:tabs>
                <w:tab w:val="left" w:pos="10345"/>
              </w:tabs>
              <w:spacing w:line="252" w:lineRule="auto"/>
              <w:ind w:left="340" w:hanging="340"/>
              <w:jc w:val="both"/>
              <w:rPr>
                <w:color w:val="000000"/>
                <w:sz w:val="20"/>
                <w:szCs w:val="20"/>
              </w:rPr>
            </w:pPr>
            <w:r>
              <w:rPr>
                <w:color w:val="000000"/>
                <w:sz w:val="20"/>
                <w:szCs w:val="20"/>
              </w:rPr>
              <w:t>Pojemnik transferowy do przechowywania osocza powinien zapewniać możliwość zamrażania szokowego w temperaturze minimum -60 st. C i bezpiecznego przechowywania osocza w temperaturze -25 st. C do -90 st. C przez 36 miesięcy z zachowaniem elastyczności i sterylności pojemnika.</w:t>
            </w:r>
          </w:p>
          <w:p w14:paraId="7CFFF2B7" w14:textId="77777777" w:rsidR="00C138C8" w:rsidRDefault="000C7A40">
            <w:pPr>
              <w:widowControl w:val="0"/>
              <w:numPr>
                <w:ilvl w:val="0"/>
                <w:numId w:val="6"/>
              </w:numPr>
              <w:tabs>
                <w:tab w:val="left" w:pos="10345"/>
              </w:tabs>
              <w:spacing w:line="252" w:lineRule="auto"/>
              <w:ind w:left="340" w:hanging="340"/>
              <w:jc w:val="both"/>
              <w:rPr>
                <w:color w:val="000000"/>
                <w:sz w:val="20"/>
                <w:szCs w:val="20"/>
              </w:rPr>
            </w:pPr>
            <w:r>
              <w:rPr>
                <w:color w:val="000000"/>
                <w:sz w:val="20"/>
                <w:szCs w:val="20"/>
              </w:rPr>
              <w:t>Tworzywo z którego wykonane są pojemniki i dreny musi być przejrzyste, umożliwiające wizualną ocenę płynu oraz składnika krwi znajdującego się pojemnikach i drenach.</w:t>
            </w:r>
          </w:p>
          <w:p w14:paraId="020F56E9" w14:textId="77777777" w:rsidR="00C138C8" w:rsidRDefault="000C7A40">
            <w:pPr>
              <w:widowControl w:val="0"/>
              <w:numPr>
                <w:ilvl w:val="0"/>
                <w:numId w:val="7"/>
              </w:numPr>
              <w:tabs>
                <w:tab w:val="left" w:pos="10345"/>
              </w:tabs>
              <w:spacing w:line="252" w:lineRule="auto"/>
              <w:ind w:left="340" w:hanging="340"/>
              <w:jc w:val="both"/>
              <w:rPr>
                <w:sz w:val="20"/>
                <w:szCs w:val="20"/>
              </w:rPr>
            </w:pPr>
            <w:r>
              <w:rPr>
                <w:sz w:val="20"/>
                <w:szCs w:val="20"/>
              </w:rPr>
              <w:t xml:space="preserve">Wszystkie pojemniki wykonane z tworzywa umożliwiającego przechowywanie zarówno </w:t>
            </w:r>
            <w:proofErr w:type="spellStart"/>
            <w:r>
              <w:rPr>
                <w:sz w:val="20"/>
                <w:szCs w:val="20"/>
              </w:rPr>
              <w:t>KKCz</w:t>
            </w:r>
            <w:proofErr w:type="spellEnd"/>
            <w:r>
              <w:rPr>
                <w:sz w:val="20"/>
                <w:szCs w:val="20"/>
              </w:rPr>
              <w:t>, osocza jak i płytek krwi.</w:t>
            </w:r>
          </w:p>
          <w:p w14:paraId="2185E903" w14:textId="77777777" w:rsidR="00C138C8" w:rsidRDefault="000C7A40">
            <w:pPr>
              <w:widowControl w:val="0"/>
              <w:numPr>
                <w:ilvl w:val="0"/>
                <w:numId w:val="8"/>
              </w:numPr>
              <w:tabs>
                <w:tab w:val="left" w:pos="10345"/>
              </w:tabs>
              <w:spacing w:line="252" w:lineRule="auto"/>
              <w:ind w:left="340" w:hanging="340"/>
              <w:jc w:val="both"/>
              <w:rPr>
                <w:sz w:val="20"/>
                <w:szCs w:val="20"/>
              </w:rPr>
            </w:pPr>
            <w:r>
              <w:rPr>
                <w:sz w:val="20"/>
                <w:szCs w:val="20"/>
              </w:rPr>
              <w:t>Umożliwiają pobranie 450 ml krwi pełnej.</w:t>
            </w:r>
          </w:p>
          <w:p w14:paraId="2948CCB2" w14:textId="77777777" w:rsidR="00C138C8" w:rsidRDefault="000C7A40">
            <w:pPr>
              <w:widowControl w:val="0"/>
              <w:numPr>
                <w:ilvl w:val="0"/>
                <w:numId w:val="9"/>
              </w:numPr>
              <w:tabs>
                <w:tab w:val="left" w:pos="10345"/>
              </w:tabs>
              <w:spacing w:line="252" w:lineRule="auto"/>
              <w:ind w:left="340" w:hanging="340"/>
              <w:jc w:val="both"/>
              <w:rPr>
                <w:color w:val="000000"/>
                <w:sz w:val="20"/>
                <w:szCs w:val="20"/>
              </w:rPr>
            </w:pPr>
            <w:r>
              <w:rPr>
                <w:color w:val="000000"/>
                <w:sz w:val="20"/>
                <w:szCs w:val="20"/>
              </w:rPr>
              <w:t>Brak strontów i zmian płynu konserwującego.</w:t>
            </w:r>
          </w:p>
          <w:p w14:paraId="68E18069" w14:textId="77777777" w:rsidR="00C138C8" w:rsidRDefault="000C7A40">
            <w:pPr>
              <w:widowControl w:val="0"/>
              <w:numPr>
                <w:ilvl w:val="0"/>
                <w:numId w:val="10"/>
              </w:numPr>
              <w:tabs>
                <w:tab w:val="left" w:pos="10345"/>
              </w:tabs>
              <w:spacing w:line="252" w:lineRule="auto"/>
              <w:ind w:left="340" w:hanging="340"/>
              <w:jc w:val="both"/>
              <w:rPr>
                <w:color w:val="000000"/>
                <w:sz w:val="20"/>
                <w:szCs w:val="20"/>
              </w:rPr>
            </w:pPr>
            <w:r>
              <w:rPr>
                <w:color w:val="000000"/>
                <w:sz w:val="20"/>
                <w:szCs w:val="20"/>
              </w:rPr>
              <w:t>Dren do pobierania krwi zakończony ostrą igłą z dodatkową osłonką zabezpieczającą przed zakłuciem po pobraniu. Konstrukcja igły gwarantuje zapobieganie wycinania skóry, tkanki podskórnej i żyły. Igła musi być zabezpieczona zamkniętą osłonką w taki sposób aby zdjęcie osłonki z ostrza możliwe było dopiero po przerwaniu osłonki z nasadą igły.</w:t>
            </w:r>
          </w:p>
          <w:p w14:paraId="2E081B61" w14:textId="77777777" w:rsidR="00C138C8" w:rsidRDefault="000C7A40">
            <w:pPr>
              <w:widowControl w:val="0"/>
              <w:numPr>
                <w:ilvl w:val="0"/>
                <w:numId w:val="11"/>
              </w:numPr>
              <w:tabs>
                <w:tab w:val="left" w:pos="10345"/>
              </w:tabs>
              <w:spacing w:line="252" w:lineRule="auto"/>
              <w:ind w:left="340" w:hanging="340"/>
              <w:jc w:val="both"/>
              <w:rPr>
                <w:color w:val="000000"/>
                <w:sz w:val="20"/>
                <w:szCs w:val="20"/>
              </w:rPr>
            </w:pPr>
            <w:r>
              <w:rPr>
                <w:color w:val="000000"/>
                <w:sz w:val="20"/>
                <w:szCs w:val="20"/>
              </w:rPr>
              <w:t xml:space="preserve">Wszystkie dreny są elastyczne, łatwe w rolowaniu, umożliwiają wykonanie trwałych zgrzewów oraz zadziałanie zacisków </w:t>
            </w:r>
            <w:proofErr w:type="spellStart"/>
            <w:r>
              <w:rPr>
                <w:color w:val="000000"/>
                <w:sz w:val="20"/>
                <w:szCs w:val="20"/>
              </w:rPr>
              <w:t>wagomieszarek</w:t>
            </w:r>
            <w:proofErr w:type="spellEnd"/>
            <w:r>
              <w:rPr>
                <w:color w:val="000000"/>
                <w:sz w:val="20"/>
                <w:szCs w:val="20"/>
              </w:rPr>
              <w:t>. Dreny powinny także umożliwiać skuteczne wykonywanie zgrzewów na różnych typach zgrzewarek. Średnica drenów powinna mieć wymiary zapewniające możliwość ich połączenia w układzie zamkniętym i otwartym.</w:t>
            </w:r>
          </w:p>
          <w:p w14:paraId="080F2CE9" w14:textId="77777777" w:rsidR="00C138C8" w:rsidRDefault="000C7A40">
            <w:pPr>
              <w:widowControl w:val="0"/>
              <w:numPr>
                <w:ilvl w:val="0"/>
                <w:numId w:val="12"/>
              </w:numPr>
              <w:tabs>
                <w:tab w:val="left" w:pos="10345"/>
              </w:tabs>
              <w:spacing w:line="252" w:lineRule="auto"/>
              <w:ind w:left="340" w:hanging="340"/>
              <w:jc w:val="both"/>
              <w:rPr>
                <w:color w:val="000000"/>
                <w:sz w:val="20"/>
                <w:szCs w:val="20"/>
              </w:rPr>
            </w:pPr>
            <w:r>
              <w:rPr>
                <w:color w:val="000000"/>
                <w:sz w:val="20"/>
                <w:szCs w:val="20"/>
              </w:rPr>
              <w:t>Nadruki na drenach wymagane na wszystkich drenach służących do wykonania pilotek.</w:t>
            </w:r>
          </w:p>
          <w:p w14:paraId="493AA3DC" w14:textId="77777777" w:rsidR="00C138C8" w:rsidRPr="00A320E6" w:rsidRDefault="000C7A40">
            <w:pPr>
              <w:widowControl w:val="0"/>
              <w:numPr>
                <w:ilvl w:val="0"/>
                <w:numId w:val="13"/>
              </w:numPr>
              <w:tabs>
                <w:tab w:val="left" w:pos="10345"/>
              </w:tabs>
              <w:spacing w:line="252" w:lineRule="auto"/>
              <w:ind w:left="340" w:hanging="340"/>
              <w:jc w:val="both"/>
              <w:rPr>
                <w:color w:val="000000" w:themeColor="text1"/>
                <w:sz w:val="20"/>
                <w:szCs w:val="20"/>
              </w:rPr>
            </w:pPr>
            <w:r w:rsidRPr="00A320E6">
              <w:rPr>
                <w:color w:val="000000" w:themeColor="text1"/>
                <w:sz w:val="20"/>
                <w:szCs w:val="20"/>
              </w:rPr>
              <w:t>Dren biegnący od dawcy(dren czerpalny)  ma  być podłączony w dolnej części pojemnika z CPD zaopatrzony w  zastawkę uniemożliwiającą przedostanie się płynu CPD powyżej połączenia drenu czerpalnego z drenem biegnącym do pojemnika probówkowego. Dren biegnący od dawcy (dren czerpalny) przed użyciem nie może zawierać płynu.</w:t>
            </w:r>
          </w:p>
          <w:p w14:paraId="69AD181E" w14:textId="77777777" w:rsidR="00C138C8" w:rsidRDefault="000C7A40">
            <w:pPr>
              <w:widowControl w:val="0"/>
              <w:numPr>
                <w:ilvl w:val="0"/>
                <w:numId w:val="14"/>
              </w:numPr>
              <w:tabs>
                <w:tab w:val="left" w:pos="10345"/>
              </w:tabs>
              <w:spacing w:line="252" w:lineRule="auto"/>
              <w:ind w:left="340" w:hanging="340"/>
              <w:jc w:val="both"/>
              <w:rPr>
                <w:sz w:val="20"/>
                <w:szCs w:val="20"/>
              </w:rPr>
            </w:pPr>
            <w:r>
              <w:rPr>
                <w:sz w:val="20"/>
                <w:szCs w:val="20"/>
              </w:rPr>
              <w:t>Zestawy pojemników muszą być kompatybilne z posiadanymi prasami automatycznym (</w:t>
            </w:r>
            <w:proofErr w:type="spellStart"/>
            <w:r>
              <w:rPr>
                <w:sz w:val="20"/>
                <w:szCs w:val="20"/>
              </w:rPr>
              <w:t>Compomat</w:t>
            </w:r>
            <w:proofErr w:type="spellEnd"/>
            <w:r>
              <w:rPr>
                <w:sz w:val="20"/>
                <w:szCs w:val="20"/>
              </w:rPr>
              <w:t xml:space="preserve"> G5plus, </w:t>
            </w:r>
            <w:proofErr w:type="spellStart"/>
            <w:r>
              <w:rPr>
                <w:sz w:val="20"/>
                <w:szCs w:val="20"/>
              </w:rPr>
              <w:t>Optipress</w:t>
            </w:r>
            <w:proofErr w:type="spellEnd"/>
            <w:r>
              <w:rPr>
                <w:sz w:val="20"/>
                <w:szCs w:val="20"/>
              </w:rPr>
              <w:t xml:space="preserve"> II, </w:t>
            </w:r>
            <w:proofErr w:type="spellStart"/>
            <w:r>
              <w:rPr>
                <w:sz w:val="20"/>
                <w:szCs w:val="20"/>
              </w:rPr>
              <w:t>Macopress</w:t>
            </w:r>
            <w:proofErr w:type="spellEnd"/>
            <w:r>
              <w:rPr>
                <w:sz w:val="20"/>
                <w:szCs w:val="20"/>
              </w:rPr>
              <w:t xml:space="preserve"> Smart).</w:t>
            </w:r>
          </w:p>
        </w:tc>
      </w:tr>
      <w:tr w:rsidR="00C138C8" w14:paraId="20A4A8C0" w14:textId="77777777">
        <w:trPr>
          <w:trHeight w:val="703"/>
          <w:jc w:val="center"/>
        </w:trPr>
        <w:tc>
          <w:tcPr>
            <w:tcW w:w="15973" w:type="dxa"/>
            <w:gridSpan w:val="11"/>
            <w:tcBorders>
              <w:left w:val="double" w:sz="2" w:space="0" w:color="000000"/>
              <w:bottom w:val="double" w:sz="2" w:space="0" w:color="000000"/>
              <w:right w:val="double" w:sz="2" w:space="0" w:color="000000"/>
            </w:tcBorders>
            <w:vAlign w:val="center"/>
          </w:tcPr>
          <w:p w14:paraId="35083091" w14:textId="77777777" w:rsidR="00C138C8" w:rsidRDefault="00C138C8">
            <w:pPr>
              <w:widowControl w:val="0"/>
              <w:shd w:val="clear" w:color="auto" w:fill="FFFFFF"/>
              <w:spacing w:afterAutospacing="1"/>
              <w:rPr>
                <w:color w:val="000000"/>
                <w:sz w:val="20"/>
                <w:szCs w:val="20"/>
              </w:rPr>
            </w:pPr>
          </w:p>
          <w:p w14:paraId="163BF8FB" w14:textId="77777777" w:rsidR="00C138C8" w:rsidRDefault="00C138C8">
            <w:pPr>
              <w:widowControl w:val="0"/>
              <w:shd w:val="clear" w:color="auto" w:fill="FFFFFF"/>
              <w:spacing w:afterAutospacing="1"/>
              <w:ind w:left="360"/>
              <w:rPr>
                <w:color w:val="000000"/>
                <w:sz w:val="20"/>
                <w:szCs w:val="20"/>
                <w:lang w:eastAsia="pl-PL"/>
              </w:rPr>
            </w:pPr>
          </w:p>
          <w:p w14:paraId="15CB618B" w14:textId="77777777" w:rsidR="00C138C8" w:rsidRDefault="000C7A40">
            <w:pPr>
              <w:widowControl w:val="0"/>
              <w:numPr>
                <w:ilvl w:val="0"/>
                <w:numId w:val="15"/>
              </w:numPr>
              <w:shd w:val="clear" w:color="auto" w:fill="FFFFFF"/>
              <w:spacing w:afterAutospacing="1"/>
              <w:rPr>
                <w:shd w:val="clear" w:color="auto" w:fill="000000"/>
              </w:rPr>
            </w:pPr>
            <w:r>
              <w:rPr>
                <w:color w:val="000000"/>
                <w:sz w:val="20"/>
                <w:szCs w:val="20"/>
                <w:lang w:eastAsia="pl-PL"/>
              </w:rPr>
              <w:t xml:space="preserve">Długość minimalna drenu pomiędzy pojemnikiem macierzystym, a pojemnikiem na </w:t>
            </w:r>
            <w:proofErr w:type="spellStart"/>
            <w:r>
              <w:rPr>
                <w:color w:val="000000"/>
                <w:sz w:val="20"/>
                <w:szCs w:val="20"/>
                <w:lang w:eastAsia="pl-PL"/>
              </w:rPr>
              <w:t>KKCz</w:t>
            </w:r>
            <w:proofErr w:type="spellEnd"/>
            <w:r>
              <w:rPr>
                <w:color w:val="000000"/>
                <w:sz w:val="20"/>
                <w:szCs w:val="20"/>
                <w:lang w:eastAsia="pl-PL"/>
              </w:rPr>
              <w:t xml:space="preserve"> 45 cm (+/- 5 cm). Pojemnik na </w:t>
            </w:r>
            <w:proofErr w:type="spellStart"/>
            <w:r>
              <w:rPr>
                <w:color w:val="000000"/>
                <w:sz w:val="20"/>
                <w:szCs w:val="20"/>
                <w:lang w:eastAsia="pl-PL"/>
              </w:rPr>
              <w:t>KKCz</w:t>
            </w:r>
            <w:proofErr w:type="spellEnd"/>
            <w:r>
              <w:rPr>
                <w:color w:val="000000"/>
                <w:sz w:val="20"/>
                <w:szCs w:val="20"/>
                <w:lang w:eastAsia="pl-PL"/>
              </w:rPr>
              <w:t xml:space="preserve"> posiada dodatkowy, oznakowany dren o długości minimum 85 cm. służący do wykonania pilotek</w:t>
            </w:r>
          </w:p>
          <w:p w14:paraId="3669D95A" w14:textId="10CC87EB" w:rsidR="00C138C8" w:rsidRDefault="000C7A40">
            <w:pPr>
              <w:pStyle w:val="Akapitzlist"/>
              <w:widowControl w:val="0"/>
              <w:numPr>
                <w:ilvl w:val="0"/>
                <w:numId w:val="16"/>
              </w:numPr>
              <w:shd w:val="clear" w:color="auto" w:fill="FFFFFF"/>
              <w:rPr>
                <w:color w:val="000000"/>
                <w:sz w:val="20"/>
                <w:szCs w:val="20"/>
              </w:rPr>
            </w:pPr>
            <w:r>
              <w:rPr>
                <w:color w:val="000000"/>
                <w:sz w:val="20"/>
                <w:szCs w:val="20"/>
              </w:rPr>
              <w:t xml:space="preserve">Na dolnej krawędzi pojemnika pustego na osocze i pojemnika na </w:t>
            </w:r>
            <w:proofErr w:type="spellStart"/>
            <w:r>
              <w:rPr>
                <w:color w:val="000000"/>
                <w:sz w:val="20"/>
                <w:szCs w:val="20"/>
              </w:rPr>
              <w:t>KKCz</w:t>
            </w:r>
            <w:proofErr w:type="spellEnd"/>
            <w:r>
              <w:rPr>
                <w:color w:val="000000"/>
                <w:sz w:val="20"/>
                <w:szCs w:val="20"/>
              </w:rPr>
              <w:t>/RW, centralnie powinno znajdować się podłużne nacięcie pojemnika umożliwiające zawieszenie pojemników na haczykach zestawów transfuzyjnych. Dodatkowo wzdłuż krawędzi bocznych pojemników powinny znajdować się dwa podłużne nacięcia materiału pojemnika w równych odległościach, służące do przewlekania drenów z pilotkami.</w:t>
            </w:r>
          </w:p>
          <w:p w14:paraId="15C432F5" w14:textId="77777777" w:rsidR="00C138C8" w:rsidRDefault="000C7A40">
            <w:pPr>
              <w:widowControl w:val="0"/>
              <w:numPr>
                <w:ilvl w:val="0"/>
                <w:numId w:val="17"/>
              </w:numPr>
              <w:tabs>
                <w:tab w:val="left" w:pos="10345"/>
              </w:tabs>
              <w:snapToGrid w:val="0"/>
              <w:spacing w:line="252" w:lineRule="auto"/>
              <w:ind w:left="340" w:hanging="340"/>
              <w:jc w:val="both"/>
              <w:rPr>
                <w:color w:val="000000"/>
                <w:sz w:val="20"/>
                <w:szCs w:val="20"/>
              </w:rPr>
            </w:pPr>
            <w:r>
              <w:rPr>
                <w:color w:val="000000"/>
                <w:sz w:val="20"/>
                <w:szCs w:val="20"/>
              </w:rPr>
              <w:t xml:space="preserve">Pojemniki puste na osocze i pojemniki na </w:t>
            </w:r>
            <w:proofErr w:type="spellStart"/>
            <w:r>
              <w:rPr>
                <w:color w:val="000000"/>
                <w:sz w:val="20"/>
                <w:szCs w:val="20"/>
              </w:rPr>
              <w:t>KKCz</w:t>
            </w:r>
            <w:proofErr w:type="spellEnd"/>
            <w:r>
              <w:rPr>
                <w:color w:val="000000"/>
                <w:sz w:val="20"/>
                <w:szCs w:val="20"/>
              </w:rPr>
              <w:t xml:space="preserve"> (z roztworem wzbogacającym) muszą posiadać po dwa porty zabezpieczone membraną od wewnątrz oraz odpowiednią ochronę od zewnątrz zapewniająca jałowość, umożliwiające podłączenie stosowanych w Polsce przyrządów do przetaczania składników krwi.</w:t>
            </w:r>
          </w:p>
          <w:p w14:paraId="22E38BA4" w14:textId="04ABB3D0" w:rsidR="00C138C8" w:rsidRDefault="000C7A40">
            <w:pPr>
              <w:widowControl w:val="0"/>
              <w:numPr>
                <w:ilvl w:val="0"/>
                <w:numId w:val="18"/>
              </w:numPr>
              <w:tabs>
                <w:tab w:val="left" w:pos="10345"/>
              </w:tabs>
              <w:spacing w:line="252" w:lineRule="auto"/>
              <w:ind w:left="340" w:hanging="340"/>
              <w:jc w:val="both"/>
              <w:rPr>
                <w:color w:val="000000"/>
                <w:sz w:val="20"/>
                <w:szCs w:val="20"/>
              </w:rPr>
            </w:pPr>
            <w:r>
              <w:rPr>
                <w:color w:val="000000"/>
                <w:sz w:val="20"/>
                <w:szCs w:val="20"/>
              </w:rPr>
              <w:t>Na wszystkich pojemnikach muszą być trwale umocowane etykiety wykonane z tworzywa sztucznego, które nie mogą ulegać uszkodzeniu ani odklejaniu w czasie preparatyki, przechowywania oraz uniemożliwić ich przypadkowe zerwanie przez użytkownika. Etykieta fabryczna powinna mieć wymiary umożliwiające przyklejenie na niej etykiety głównej, zgodnej z wymaganiami ISBT 128 (międzynarodowy standard oznakowania krwi i jej składników).</w:t>
            </w:r>
          </w:p>
          <w:p w14:paraId="0E70D39F" w14:textId="7A0308CC" w:rsidR="00C138C8" w:rsidRDefault="000C7A40">
            <w:pPr>
              <w:widowControl w:val="0"/>
              <w:numPr>
                <w:ilvl w:val="0"/>
                <w:numId w:val="19"/>
              </w:numPr>
              <w:tabs>
                <w:tab w:val="left" w:pos="10345"/>
              </w:tabs>
              <w:spacing w:line="252" w:lineRule="auto"/>
              <w:ind w:left="340" w:hanging="340"/>
              <w:jc w:val="both"/>
              <w:rPr>
                <w:color w:val="000000"/>
                <w:sz w:val="20"/>
                <w:szCs w:val="20"/>
              </w:rPr>
            </w:pPr>
            <w:r>
              <w:rPr>
                <w:color w:val="000000"/>
                <w:sz w:val="20"/>
                <w:szCs w:val="20"/>
              </w:rPr>
              <w:t>Etykieta fabryczna musi posiadać znak CE oraz kody kreskowe odpowiadające wymogom standardu EAN 128 lub ISBT 128. Kody kreskowe powinny być odczytywane przez skaner (czytniki). Etykiety muszą zawierać; nazwę firmy, rodzaj pojemnika, rodzaj tworzywa z jakiego został wykonany, rodzaj i skład płynu konserwującego oraz RW (zamawiający dopuszcza informacje o składzie płynów na etykiecie w języku angielskim lub łacińskim) nr serii i typ pojemnika w postaci alfanumerycznej kodu kreskowego. Zamawiający dopuszcza etykietę z piktogramami zgodnymi z normami i standardami ISO 3826-2 pod warunkiem dołączenia instrukcji w języku polskim, wyjaśniającej znaczenie piktogramów.</w:t>
            </w:r>
          </w:p>
          <w:p w14:paraId="1973215A" w14:textId="74970D26" w:rsidR="00C138C8" w:rsidRDefault="000C7A40">
            <w:pPr>
              <w:widowControl w:val="0"/>
              <w:numPr>
                <w:ilvl w:val="0"/>
                <w:numId w:val="20"/>
              </w:numPr>
              <w:tabs>
                <w:tab w:val="left" w:pos="10345"/>
              </w:tabs>
              <w:spacing w:line="252" w:lineRule="auto"/>
              <w:ind w:left="340" w:hanging="340"/>
              <w:jc w:val="both"/>
              <w:rPr>
                <w:color w:val="000000"/>
                <w:sz w:val="20"/>
                <w:szCs w:val="20"/>
              </w:rPr>
            </w:pPr>
            <w:r>
              <w:rPr>
                <w:color w:val="000000"/>
                <w:sz w:val="20"/>
                <w:szCs w:val="20"/>
              </w:rPr>
              <w:t>Każdy zestaw powinien być umieszczony w indywidualnym opakowaniu zewnętrznym zapewniającym szczelność, sterylność, dobrą odporność na uszkodzenia mechaniczne i czynniki atmosferyczne, z oznaczoną datą ważności i nr serii LOT. Zamawiający dopuszcza, aby data ważności i nr LOT znajdowały się na etykiecie pojemnika macierzystego zestawu oraz na opakowaniu zbiorczym (kartonie) przy przezroczystym opakowaniu jednostkowym zestawu pojemników pozwalających na wizualną ocenę jego zawartości bez konieczności jego otwierania. Dopuszcza się dodatkowe pakowanie opakowań indywidualnych po kilka sztuk, jednak takie dodatkowe opakowanie zabezpieczające musi być przezroczyste, umożliwiające wizualną kontrolę pojemników przed rozpakowaniem. Rodzaj sterylizacji dopuszcza użycie pojemnika w ciągu 10 dni od otwarcia opakowania bezpośredniego lub pośredniego.</w:t>
            </w:r>
          </w:p>
          <w:p w14:paraId="70D34213" w14:textId="788D2805" w:rsidR="00C138C8" w:rsidRDefault="000C7A40">
            <w:pPr>
              <w:widowControl w:val="0"/>
              <w:numPr>
                <w:ilvl w:val="0"/>
                <w:numId w:val="21"/>
              </w:numPr>
              <w:tabs>
                <w:tab w:val="left" w:pos="10345"/>
              </w:tabs>
              <w:spacing w:line="252" w:lineRule="auto"/>
              <w:ind w:left="340" w:hanging="340"/>
              <w:jc w:val="both"/>
              <w:rPr>
                <w:color w:val="000000"/>
                <w:sz w:val="20"/>
                <w:szCs w:val="20"/>
              </w:rPr>
            </w:pPr>
            <w:r>
              <w:rPr>
                <w:color w:val="000000"/>
                <w:sz w:val="20"/>
                <w:szCs w:val="20"/>
              </w:rPr>
              <w:t xml:space="preserve">Pojemniki zaopatrzone w pojemnik na pierwszą krew do pobrania próbek z portem umożliwiającym pobranie próbek do badań w systemie próżniowym. Dren czerpalny oraz dren biegnący do pojemnika </w:t>
            </w:r>
            <w:r>
              <w:rPr>
                <w:sz w:val="20"/>
                <w:szCs w:val="20"/>
              </w:rPr>
              <w:t>probówkowego</w:t>
            </w:r>
            <w:r>
              <w:rPr>
                <w:color w:val="000000"/>
                <w:sz w:val="20"/>
                <w:szCs w:val="20"/>
              </w:rPr>
              <w:t xml:space="preserve"> wyposażony w zaciski uniemożliwiające ich zdjęcie z drenów.</w:t>
            </w:r>
          </w:p>
          <w:p w14:paraId="739ABE92" w14:textId="77777777" w:rsidR="00C138C8" w:rsidRDefault="000C7A40">
            <w:pPr>
              <w:widowControl w:val="0"/>
              <w:numPr>
                <w:ilvl w:val="0"/>
                <w:numId w:val="22"/>
              </w:numPr>
              <w:spacing w:line="252" w:lineRule="auto"/>
              <w:ind w:left="340" w:hanging="340"/>
              <w:jc w:val="both"/>
              <w:rPr>
                <w:color w:val="000000"/>
                <w:sz w:val="20"/>
                <w:szCs w:val="20"/>
              </w:rPr>
            </w:pPr>
            <w:r>
              <w:rPr>
                <w:color w:val="000000"/>
                <w:sz w:val="20"/>
                <w:szCs w:val="20"/>
              </w:rPr>
              <w:t>Króćce udrażniające przepływ między pojemnikami są przezroczyste i dają się łatwo wyłamać, kominki przy pojemnikach zaopatrzone w łatwo łamliwą membranę podczas preparatyki.</w:t>
            </w:r>
          </w:p>
          <w:p w14:paraId="128DE7FE" w14:textId="77777777" w:rsidR="00C138C8" w:rsidRDefault="000C7A40">
            <w:pPr>
              <w:widowControl w:val="0"/>
              <w:numPr>
                <w:ilvl w:val="0"/>
                <w:numId w:val="23"/>
              </w:numPr>
              <w:spacing w:line="252" w:lineRule="auto"/>
              <w:ind w:left="340" w:hanging="340"/>
              <w:jc w:val="both"/>
              <w:rPr>
                <w:color w:val="000000"/>
                <w:sz w:val="20"/>
                <w:szCs w:val="20"/>
              </w:rPr>
            </w:pPr>
            <w:r>
              <w:rPr>
                <w:color w:val="000000"/>
                <w:sz w:val="20"/>
                <w:szCs w:val="20"/>
              </w:rPr>
              <w:t xml:space="preserve">Roztwór wzbogacający ADSOL lub SAGM umożliwia przechowywanie otrzymanego </w:t>
            </w:r>
            <w:proofErr w:type="spellStart"/>
            <w:r>
              <w:rPr>
                <w:color w:val="000000"/>
                <w:sz w:val="20"/>
                <w:szCs w:val="20"/>
              </w:rPr>
              <w:t>KKCz</w:t>
            </w:r>
            <w:proofErr w:type="spellEnd"/>
            <w:r>
              <w:rPr>
                <w:color w:val="000000"/>
                <w:sz w:val="20"/>
                <w:szCs w:val="20"/>
              </w:rPr>
              <w:t xml:space="preserve"> w standardowo przyjętym zakresie temperatur od 2 do 6 stopni C przez 42 dni.</w:t>
            </w:r>
          </w:p>
          <w:p w14:paraId="6909C5FA" w14:textId="77777777" w:rsidR="00C138C8" w:rsidRDefault="000C7A40">
            <w:pPr>
              <w:widowControl w:val="0"/>
              <w:numPr>
                <w:ilvl w:val="0"/>
                <w:numId w:val="24"/>
              </w:numPr>
              <w:spacing w:line="252" w:lineRule="auto"/>
              <w:ind w:left="340" w:hanging="340"/>
              <w:jc w:val="both"/>
              <w:rPr>
                <w:color w:val="000000"/>
                <w:sz w:val="20"/>
                <w:szCs w:val="20"/>
              </w:rPr>
            </w:pPr>
            <w:r>
              <w:rPr>
                <w:color w:val="000000"/>
                <w:sz w:val="20"/>
                <w:szCs w:val="20"/>
              </w:rPr>
              <w:t>Pojemniki są dopuszczone do obrotu na terenie Polski.</w:t>
            </w:r>
          </w:p>
          <w:p w14:paraId="36FCE555" w14:textId="77777777" w:rsidR="00C138C8" w:rsidRDefault="000C7A40">
            <w:pPr>
              <w:widowControl w:val="0"/>
              <w:numPr>
                <w:ilvl w:val="0"/>
                <w:numId w:val="25"/>
              </w:numPr>
              <w:spacing w:line="252" w:lineRule="auto"/>
              <w:ind w:left="340" w:hanging="340"/>
              <w:jc w:val="both"/>
              <w:rPr>
                <w:color w:val="000000"/>
                <w:sz w:val="20"/>
                <w:szCs w:val="20"/>
              </w:rPr>
            </w:pPr>
            <w:r>
              <w:rPr>
                <w:color w:val="000000"/>
                <w:sz w:val="20"/>
                <w:szCs w:val="20"/>
              </w:rPr>
              <w:t>Wykonawca  do każdej dostawy dołączy certyfikat kontroli jakości dla każdej serii.</w:t>
            </w:r>
          </w:p>
          <w:p w14:paraId="1EF6BBBB" w14:textId="77777777" w:rsidR="00C138C8" w:rsidRDefault="000C7A40">
            <w:pPr>
              <w:widowControl w:val="0"/>
              <w:numPr>
                <w:ilvl w:val="0"/>
                <w:numId w:val="26"/>
              </w:numPr>
              <w:spacing w:line="252" w:lineRule="auto"/>
              <w:ind w:left="340" w:hanging="340"/>
              <w:jc w:val="both"/>
              <w:rPr>
                <w:color w:val="000000"/>
                <w:sz w:val="20"/>
                <w:szCs w:val="20"/>
              </w:rPr>
            </w:pPr>
            <w:r>
              <w:rPr>
                <w:color w:val="000000"/>
                <w:sz w:val="20"/>
                <w:szCs w:val="20"/>
              </w:rPr>
              <w:t>Zamawiający wymaga dostarczenia pojemników jednej serii dla jednej dostawy. Pojemniki muszą być ułożone numerycznie.</w:t>
            </w:r>
          </w:p>
          <w:p w14:paraId="7A8CC434" w14:textId="77777777" w:rsidR="00C138C8" w:rsidRDefault="000C7A40">
            <w:pPr>
              <w:widowControl w:val="0"/>
              <w:numPr>
                <w:ilvl w:val="0"/>
                <w:numId w:val="27"/>
              </w:numPr>
              <w:spacing w:line="252" w:lineRule="auto"/>
              <w:ind w:left="340" w:hanging="340"/>
              <w:jc w:val="both"/>
              <w:rPr>
                <w:sz w:val="20"/>
                <w:szCs w:val="20"/>
              </w:rPr>
            </w:pPr>
            <w:r>
              <w:rPr>
                <w:sz w:val="20"/>
                <w:szCs w:val="20"/>
              </w:rPr>
              <w:t>Opakowanie transportowe powinno: nie ulegać łatwo zgnieceniom, być łatwe do przechowywania i transportu, nie wymagać użycia narzędzi ostrych do jego otwarcia. Powinno zawierać następujące informacje w języku polskim: nazwa producenta, nazwa i rodzaj pojemników, ilości sztuk w opakowaniu, nr serii, kod REF, data ważności, warunki przechowywania. Zamawiający dopuszcza informację w postaci piktogramów zgodnych z normą i standardami ISO 3826-2 pod warunkiem dołączenia instrukcji w języku polskim, wyjaśniającym znaczenie piktogramów.</w:t>
            </w:r>
          </w:p>
          <w:p w14:paraId="055005D7" w14:textId="77777777" w:rsidR="00C138C8" w:rsidRDefault="000C7A40">
            <w:pPr>
              <w:widowControl w:val="0"/>
              <w:numPr>
                <w:ilvl w:val="0"/>
                <w:numId w:val="28"/>
              </w:numPr>
              <w:spacing w:line="252" w:lineRule="auto"/>
              <w:ind w:left="340" w:hanging="340"/>
              <w:jc w:val="both"/>
              <w:rPr>
                <w:sz w:val="20"/>
                <w:szCs w:val="20"/>
              </w:rPr>
            </w:pPr>
            <w:r>
              <w:rPr>
                <w:sz w:val="20"/>
                <w:szCs w:val="20"/>
              </w:rPr>
              <w:t>Termin ważności pojemników minimum 12 miesięcy od daty dostawy do Zamawiającego.</w:t>
            </w:r>
          </w:p>
          <w:p w14:paraId="5EFF151F" w14:textId="77777777" w:rsidR="00A320E6" w:rsidRDefault="00A320E6" w:rsidP="00A320E6">
            <w:pPr>
              <w:widowControl w:val="0"/>
              <w:spacing w:line="252" w:lineRule="auto"/>
              <w:jc w:val="both"/>
              <w:rPr>
                <w:sz w:val="20"/>
                <w:szCs w:val="20"/>
              </w:rPr>
            </w:pPr>
          </w:p>
          <w:p w14:paraId="76A5BF6B" w14:textId="77777777" w:rsidR="00A320E6" w:rsidRDefault="00A320E6" w:rsidP="00A320E6">
            <w:pPr>
              <w:widowControl w:val="0"/>
              <w:spacing w:line="252" w:lineRule="auto"/>
              <w:jc w:val="both"/>
              <w:rPr>
                <w:sz w:val="20"/>
                <w:szCs w:val="20"/>
              </w:rPr>
            </w:pPr>
          </w:p>
          <w:p w14:paraId="2152A5FA" w14:textId="0830A9AC" w:rsidR="00A320E6" w:rsidRPr="00A320E6" w:rsidRDefault="00A320E6" w:rsidP="00A320E6">
            <w:pPr>
              <w:widowControl w:val="0"/>
              <w:spacing w:line="252" w:lineRule="auto"/>
              <w:jc w:val="both"/>
              <w:rPr>
                <w:color w:val="FF0000"/>
                <w:sz w:val="20"/>
                <w:szCs w:val="20"/>
              </w:rPr>
            </w:pPr>
            <w:r w:rsidRPr="00A320E6">
              <w:rPr>
                <w:color w:val="FF0000"/>
                <w:sz w:val="20"/>
                <w:szCs w:val="20"/>
              </w:rPr>
              <w:lastRenderedPageBreak/>
              <w:t>Dopuszcza się:</w:t>
            </w:r>
          </w:p>
          <w:p w14:paraId="568C9ACD" w14:textId="77777777" w:rsidR="00A320E6" w:rsidRPr="00A320E6" w:rsidRDefault="00A320E6" w:rsidP="00A320E6">
            <w:pPr>
              <w:spacing w:line="276" w:lineRule="auto"/>
              <w:jc w:val="both"/>
              <w:rPr>
                <w:color w:val="FF0000"/>
                <w:sz w:val="20"/>
                <w:szCs w:val="20"/>
              </w:rPr>
            </w:pPr>
            <w:r w:rsidRPr="00A320E6">
              <w:rPr>
                <w:color w:val="FF0000"/>
                <w:sz w:val="20"/>
                <w:szCs w:val="20"/>
              </w:rPr>
              <w:t>- pojemniki w których dren czerpalny jest podłączony do pojemnika z CPD w jego górnej części.</w:t>
            </w:r>
          </w:p>
          <w:p w14:paraId="216BA5E9" w14:textId="11B0AA97" w:rsidR="00A320E6" w:rsidRPr="00A320E6" w:rsidRDefault="00A320E6" w:rsidP="00A320E6">
            <w:pPr>
              <w:widowControl w:val="0"/>
              <w:spacing w:line="252" w:lineRule="auto"/>
              <w:jc w:val="both"/>
              <w:rPr>
                <w:color w:val="FF0000"/>
                <w:sz w:val="20"/>
                <w:szCs w:val="20"/>
              </w:rPr>
            </w:pPr>
            <w:r w:rsidRPr="00A320E6">
              <w:rPr>
                <w:color w:val="FF0000"/>
                <w:sz w:val="20"/>
                <w:szCs w:val="20"/>
              </w:rPr>
              <w:t>- dopuszcza pojemniki wyposażone w króćce dedykowane do manualnego udrażniania podczas procedur preparatywnych z wykorzystaniem posiadanych przez Zamawiającego pras automatycznych, przy jednoczesnej deklaracji dostosowania programów separacyjnych celem umożliwienia powyższej funkcjonalności.</w:t>
            </w:r>
          </w:p>
          <w:p w14:paraId="69FCC1D3" w14:textId="77777777" w:rsidR="00C138C8" w:rsidRDefault="00C138C8">
            <w:pPr>
              <w:widowControl w:val="0"/>
              <w:spacing w:line="252" w:lineRule="auto"/>
              <w:ind w:left="340"/>
              <w:jc w:val="both"/>
              <w:rPr>
                <w:sz w:val="20"/>
                <w:szCs w:val="20"/>
              </w:rPr>
            </w:pPr>
          </w:p>
        </w:tc>
      </w:tr>
    </w:tbl>
    <w:p w14:paraId="67EA9335" w14:textId="77777777" w:rsidR="00C138C8" w:rsidRDefault="00C138C8">
      <w:pPr>
        <w:jc w:val="both"/>
        <w:rPr>
          <w:sz w:val="20"/>
          <w:szCs w:val="20"/>
        </w:rPr>
      </w:pPr>
    </w:p>
    <w:p w14:paraId="2D1E40B5" w14:textId="77777777" w:rsidR="00C138C8" w:rsidRDefault="00C138C8">
      <w:pPr>
        <w:jc w:val="both"/>
        <w:rPr>
          <w:sz w:val="20"/>
          <w:szCs w:val="20"/>
        </w:rPr>
      </w:pPr>
    </w:p>
    <w:p w14:paraId="7CA51B2B" w14:textId="77777777" w:rsidR="00C138C8" w:rsidRDefault="00C138C8">
      <w:pPr>
        <w:jc w:val="both"/>
        <w:rPr>
          <w:sz w:val="20"/>
          <w:szCs w:val="20"/>
        </w:rPr>
      </w:pPr>
    </w:p>
    <w:p w14:paraId="65104265" w14:textId="77777777" w:rsidR="00C138C8" w:rsidRDefault="00C138C8">
      <w:pPr>
        <w:jc w:val="both"/>
        <w:rPr>
          <w:sz w:val="20"/>
          <w:szCs w:val="20"/>
        </w:rPr>
      </w:pPr>
    </w:p>
    <w:p w14:paraId="3BD00D9C" w14:textId="77777777" w:rsidR="00C138C8" w:rsidRDefault="00C138C8">
      <w:pPr>
        <w:jc w:val="center"/>
        <w:rPr>
          <w:sz w:val="20"/>
        </w:rPr>
      </w:pPr>
    </w:p>
    <w:tbl>
      <w:tblPr>
        <w:tblW w:w="15748" w:type="dxa"/>
        <w:jc w:val="center"/>
        <w:tblLayout w:type="fixed"/>
        <w:tblLook w:val="04A0" w:firstRow="1" w:lastRow="0" w:firstColumn="1" w:lastColumn="0" w:noHBand="0" w:noVBand="1"/>
      </w:tblPr>
      <w:tblGrid>
        <w:gridCol w:w="6826"/>
        <w:gridCol w:w="4208"/>
        <w:gridCol w:w="4714"/>
      </w:tblGrid>
      <w:tr w:rsidR="00C138C8" w14:paraId="6FD06961" w14:textId="77777777">
        <w:trPr>
          <w:jc w:val="center"/>
        </w:trPr>
        <w:tc>
          <w:tcPr>
            <w:tcW w:w="6826" w:type="dxa"/>
            <w:tcBorders>
              <w:top w:val="single" w:sz="4" w:space="0" w:color="000000"/>
              <w:left w:val="single" w:sz="4" w:space="0" w:color="000000"/>
              <w:bottom w:val="single" w:sz="4" w:space="0" w:color="000000"/>
              <w:right w:val="single" w:sz="4" w:space="0" w:color="000000"/>
            </w:tcBorders>
            <w:vAlign w:val="center"/>
          </w:tcPr>
          <w:p w14:paraId="37A6E93F" w14:textId="77777777" w:rsidR="00C138C8" w:rsidRDefault="000C7A40">
            <w:pPr>
              <w:widowControl w:val="0"/>
              <w:jc w:val="center"/>
              <w:rPr>
                <w:b/>
                <w:sz w:val="20"/>
              </w:rPr>
            </w:pPr>
            <w:r>
              <w:rPr>
                <w:b/>
                <w:sz w:val="20"/>
              </w:rPr>
              <w:t>Informacja ogólna</w:t>
            </w:r>
          </w:p>
        </w:tc>
        <w:tc>
          <w:tcPr>
            <w:tcW w:w="4208" w:type="dxa"/>
            <w:tcBorders>
              <w:top w:val="single" w:sz="4" w:space="0" w:color="000000"/>
              <w:left w:val="single" w:sz="4" w:space="0" w:color="000000"/>
              <w:bottom w:val="single" w:sz="4" w:space="0" w:color="000000"/>
              <w:right w:val="single" w:sz="4" w:space="0" w:color="000000"/>
            </w:tcBorders>
            <w:vAlign w:val="center"/>
          </w:tcPr>
          <w:p w14:paraId="194EEBFB" w14:textId="77777777" w:rsidR="00C138C8" w:rsidRDefault="000C7A40">
            <w:pPr>
              <w:widowControl w:val="0"/>
              <w:jc w:val="center"/>
              <w:rPr>
                <w:b/>
                <w:sz w:val="20"/>
              </w:rPr>
            </w:pPr>
            <w:r>
              <w:rPr>
                <w:b/>
                <w:sz w:val="20"/>
              </w:rPr>
              <w:t>Parametr wymagany</w:t>
            </w:r>
          </w:p>
        </w:tc>
        <w:tc>
          <w:tcPr>
            <w:tcW w:w="4714" w:type="dxa"/>
            <w:tcBorders>
              <w:top w:val="single" w:sz="4" w:space="0" w:color="000000"/>
              <w:left w:val="single" w:sz="4" w:space="0" w:color="000000"/>
              <w:bottom w:val="single" w:sz="4" w:space="0" w:color="000000"/>
              <w:right w:val="single" w:sz="4" w:space="0" w:color="000000"/>
            </w:tcBorders>
            <w:vAlign w:val="center"/>
          </w:tcPr>
          <w:p w14:paraId="03BFCAB6" w14:textId="77777777" w:rsidR="00C138C8" w:rsidRDefault="000C7A40">
            <w:pPr>
              <w:widowControl w:val="0"/>
              <w:jc w:val="center"/>
              <w:rPr>
                <w:b/>
                <w:sz w:val="20"/>
              </w:rPr>
            </w:pPr>
            <w:r>
              <w:rPr>
                <w:b/>
                <w:sz w:val="20"/>
              </w:rPr>
              <w:t>Wypełnia Wykonawca</w:t>
            </w:r>
          </w:p>
        </w:tc>
      </w:tr>
      <w:tr w:rsidR="00C138C8" w14:paraId="7A5C6889" w14:textId="77777777">
        <w:trPr>
          <w:jc w:val="center"/>
        </w:trPr>
        <w:tc>
          <w:tcPr>
            <w:tcW w:w="6826" w:type="dxa"/>
            <w:tcBorders>
              <w:top w:val="single" w:sz="4" w:space="0" w:color="000000"/>
              <w:left w:val="single" w:sz="4" w:space="0" w:color="000000"/>
              <w:bottom w:val="single" w:sz="4" w:space="0" w:color="000000"/>
              <w:right w:val="single" w:sz="4" w:space="0" w:color="000000"/>
            </w:tcBorders>
            <w:vAlign w:val="center"/>
          </w:tcPr>
          <w:p w14:paraId="29679019" w14:textId="77777777" w:rsidR="00C138C8" w:rsidRDefault="00C138C8">
            <w:pPr>
              <w:widowControl w:val="0"/>
              <w:jc w:val="center"/>
              <w:rPr>
                <w:sz w:val="20"/>
              </w:rPr>
            </w:pPr>
          </w:p>
          <w:p w14:paraId="050FCB41" w14:textId="77777777" w:rsidR="00C138C8" w:rsidRDefault="000C7A40">
            <w:pPr>
              <w:widowControl w:val="0"/>
              <w:jc w:val="center"/>
              <w:rPr>
                <w:sz w:val="20"/>
              </w:rPr>
            </w:pPr>
            <w:r>
              <w:rPr>
                <w:sz w:val="20"/>
              </w:rPr>
              <w:t>Czas dostawy do magazynu Zamawiającego –</w:t>
            </w:r>
          </w:p>
          <w:p w14:paraId="49F52A9E" w14:textId="77777777" w:rsidR="00C138C8" w:rsidRDefault="000C7A40">
            <w:pPr>
              <w:widowControl w:val="0"/>
              <w:jc w:val="center"/>
              <w:rPr>
                <w:sz w:val="20"/>
              </w:rPr>
            </w:pPr>
            <w:r>
              <w:rPr>
                <w:sz w:val="20"/>
              </w:rPr>
              <w:t>maksymalnie w ciągu 14 dni roboczych od otrzymania zamówienia przez Wykonawcę</w:t>
            </w:r>
          </w:p>
          <w:p w14:paraId="5D70DD77" w14:textId="77777777" w:rsidR="00C138C8" w:rsidRDefault="00C138C8">
            <w:pPr>
              <w:widowControl w:val="0"/>
              <w:jc w:val="center"/>
              <w:rPr>
                <w:sz w:val="20"/>
              </w:rPr>
            </w:pPr>
          </w:p>
        </w:tc>
        <w:tc>
          <w:tcPr>
            <w:tcW w:w="4208" w:type="dxa"/>
            <w:tcBorders>
              <w:top w:val="single" w:sz="4" w:space="0" w:color="000000"/>
              <w:left w:val="single" w:sz="4" w:space="0" w:color="000000"/>
              <w:bottom w:val="single" w:sz="4" w:space="0" w:color="000000"/>
              <w:right w:val="single" w:sz="4" w:space="0" w:color="000000"/>
            </w:tcBorders>
            <w:vAlign w:val="center"/>
          </w:tcPr>
          <w:p w14:paraId="4DED17EA" w14:textId="77777777" w:rsidR="00C138C8" w:rsidRDefault="000C7A40">
            <w:pPr>
              <w:widowControl w:val="0"/>
              <w:jc w:val="center"/>
              <w:rPr>
                <w:sz w:val="20"/>
              </w:rPr>
            </w:pPr>
            <w:r>
              <w:rPr>
                <w:sz w:val="20"/>
              </w:rPr>
              <w:t>Tak, podać oferowany czas dostawy</w:t>
            </w:r>
          </w:p>
        </w:tc>
        <w:tc>
          <w:tcPr>
            <w:tcW w:w="4714" w:type="dxa"/>
            <w:tcBorders>
              <w:top w:val="single" w:sz="4" w:space="0" w:color="000000"/>
              <w:left w:val="single" w:sz="4" w:space="0" w:color="000000"/>
              <w:bottom w:val="single" w:sz="4" w:space="0" w:color="000000"/>
              <w:right w:val="single" w:sz="4" w:space="0" w:color="000000"/>
            </w:tcBorders>
            <w:vAlign w:val="center"/>
          </w:tcPr>
          <w:p w14:paraId="1BBB4540" w14:textId="77777777" w:rsidR="00C138C8" w:rsidRDefault="000C7A40">
            <w:pPr>
              <w:widowControl w:val="0"/>
              <w:jc w:val="center"/>
            </w:pPr>
            <w:r>
              <w:rPr>
                <w:sz w:val="20"/>
              </w:rPr>
              <w:t>…….dni</w:t>
            </w:r>
            <w:r>
              <w:rPr>
                <w:sz w:val="20"/>
                <w:szCs w:val="20"/>
              </w:rPr>
              <w:t xml:space="preserve"> roboczych</w:t>
            </w:r>
          </w:p>
        </w:tc>
      </w:tr>
    </w:tbl>
    <w:p w14:paraId="46234A21" w14:textId="77777777" w:rsidR="00C138C8" w:rsidRDefault="00C138C8">
      <w:pPr>
        <w:widowControl w:val="0"/>
        <w:rPr>
          <w:sz w:val="20"/>
          <w:szCs w:val="20"/>
        </w:rPr>
      </w:pPr>
    </w:p>
    <w:p w14:paraId="52DF9F4A" w14:textId="2FBA6995" w:rsidR="00C138C8" w:rsidRDefault="000C7A40">
      <w:pPr>
        <w:jc w:val="both"/>
        <w:rPr>
          <w:sz w:val="20"/>
          <w:szCs w:val="20"/>
        </w:rPr>
      </w:pPr>
      <w:r>
        <w:rPr>
          <w:b/>
          <w:bCs/>
          <w:sz w:val="20"/>
          <w:szCs w:val="20"/>
        </w:rPr>
        <w:t>W celu potwierdzenia, że oferowan</w:t>
      </w:r>
      <w:r w:rsidR="00C37894">
        <w:rPr>
          <w:b/>
          <w:bCs/>
          <w:sz w:val="20"/>
          <w:szCs w:val="20"/>
        </w:rPr>
        <w:t>y</w:t>
      </w:r>
      <w:r>
        <w:rPr>
          <w:b/>
          <w:bCs/>
          <w:sz w:val="20"/>
          <w:szCs w:val="20"/>
        </w:rPr>
        <w:t xml:space="preserve"> produkt odpowiada wymaganiom określonym przez Zamawiającego, Zamawiający żąda następujących dokumentów oraz próbek</w:t>
      </w:r>
      <w:r>
        <w:rPr>
          <w:sz w:val="20"/>
          <w:szCs w:val="20"/>
        </w:rPr>
        <w:t>:</w:t>
      </w:r>
    </w:p>
    <w:p w14:paraId="67EEC8C6" w14:textId="262D9A3A" w:rsidR="00C138C8" w:rsidRPr="00C37894" w:rsidRDefault="00C37894" w:rsidP="00C37894">
      <w:pPr>
        <w:pStyle w:val="Akapitzlist"/>
        <w:numPr>
          <w:ilvl w:val="0"/>
          <w:numId w:val="30"/>
        </w:numPr>
        <w:tabs>
          <w:tab w:val="left" w:pos="720"/>
        </w:tabs>
        <w:jc w:val="both"/>
        <w:rPr>
          <w:sz w:val="20"/>
          <w:szCs w:val="20"/>
        </w:rPr>
      </w:pPr>
      <w:r w:rsidRPr="00C37894">
        <w:rPr>
          <w:sz w:val="20"/>
          <w:szCs w:val="20"/>
        </w:rPr>
        <w:t>Instrukcja w języku polskim</w:t>
      </w:r>
      <w:r>
        <w:rPr>
          <w:sz w:val="20"/>
          <w:szCs w:val="20"/>
        </w:rPr>
        <w:t>.</w:t>
      </w:r>
    </w:p>
    <w:p w14:paraId="4E994D8A" w14:textId="22C6EB94" w:rsidR="00C138C8" w:rsidRDefault="00C37894" w:rsidP="00C37894">
      <w:pPr>
        <w:pStyle w:val="Akapitzlist"/>
        <w:numPr>
          <w:ilvl w:val="0"/>
          <w:numId w:val="30"/>
        </w:numPr>
        <w:tabs>
          <w:tab w:val="left" w:pos="720"/>
        </w:tabs>
        <w:jc w:val="both"/>
        <w:rPr>
          <w:sz w:val="20"/>
          <w:szCs w:val="20"/>
        </w:rPr>
      </w:pPr>
      <w:r>
        <w:rPr>
          <w:sz w:val="20"/>
          <w:szCs w:val="20"/>
        </w:rPr>
        <w:t>Deklaracja zgodności.</w:t>
      </w:r>
    </w:p>
    <w:p w14:paraId="6A407967" w14:textId="1B901B01" w:rsidR="00C138C8" w:rsidRDefault="00C37894" w:rsidP="00C37894">
      <w:pPr>
        <w:pStyle w:val="Akapitzlist"/>
        <w:numPr>
          <w:ilvl w:val="0"/>
          <w:numId w:val="30"/>
        </w:numPr>
        <w:tabs>
          <w:tab w:val="left" w:pos="720"/>
        </w:tabs>
        <w:jc w:val="both"/>
        <w:rPr>
          <w:sz w:val="20"/>
          <w:szCs w:val="20"/>
        </w:rPr>
      </w:pPr>
      <w:r>
        <w:rPr>
          <w:sz w:val="20"/>
          <w:szCs w:val="20"/>
        </w:rPr>
        <w:t xml:space="preserve">Dokument CE. </w:t>
      </w:r>
    </w:p>
    <w:p w14:paraId="467E4F31" w14:textId="2F365626" w:rsidR="00C138C8" w:rsidRDefault="00C37894" w:rsidP="00C37894">
      <w:pPr>
        <w:pStyle w:val="Akapitzlist"/>
        <w:numPr>
          <w:ilvl w:val="0"/>
          <w:numId w:val="30"/>
        </w:numPr>
        <w:tabs>
          <w:tab w:val="left" w:pos="720"/>
        </w:tabs>
        <w:jc w:val="both"/>
        <w:rPr>
          <w:sz w:val="20"/>
          <w:szCs w:val="20"/>
        </w:rPr>
      </w:pPr>
      <w:r>
        <w:rPr>
          <w:sz w:val="20"/>
          <w:szCs w:val="20"/>
        </w:rPr>
        <w:t xml:space="preserve">Zgłoszenie do bazy danych Prezesa </w:t>
      </w:r>
      <w:proofErr w:type="spellStart"/>
      <w:r>
        <w:rPr>
          <w:sz w:val="20"/>
          <w:szCs w:val="20"/>
        </w:rPr>
        <w:t>URPLWMiPB</w:t>
      </w:r>
      <w:proofErr w:type="spellEnd"/>
      <w:r>
        <w:rPr>
          <w:sz w:val="20"/>
          <w:szCs w:val="20"/>
        </w:rPr>
        <w:t xml:space="preserve"> na podstawie ustawy z dnia 7 kwietnia 2022 r. o wyrobach medycznych lub powiadomienie Prezesa </w:t>
      </w:r>
      <w:proofErr w:type="spellStart"/>
      <w:r>
        <w:rPr>
          <w:sz w:val="20"/>
          <w:szCs w:val="20"/>
        </w:rPr>
        <w:t>URPLWMiPB</w:t>
      </w:r>
      <w:proofErr w:type="spellEnd"/>
      <w:r>
        <w:rPr>
          <w:sz w:val="20"/>
          <w:szCs w:val="20"/>
        </w:rPr>
        <w:t xml:space="preserve"> o</w:t>
      </w:r>
      <w:r w:rsidR="000C7A40">
        <w:rPr>
          <w:sz w:val="20"/>
          <w:szCs w:val="20"/>
        </w:rPr>
        <w:t> </w:t>
      </w:r>
      <w:r>
        <w:rPr>
          <w:sz w:val="20"/>
          <w:szCs w:val="20"/>
        </w:rPr>
        <w:t>wprowadzeniu wyrobu na terytorium RP na podstawie ustawy z dnia 7  kwietnia 2022 r. o wyrobach medycznych.</w:t>
      </w:r>
    </w:p>
    <w:p w14:paraId="76B0DE6B" w14:textId="52B25119" w:rsidR="00C138C8" w:rsidRDefault="00C37894" w:rsidP="00C37894">
      <w:pPr>
        <w:pStyle w:val="Akapitzlist"/>
        <w:numPr>
          <w:ilvl w:val="0"/>
          <w:numId w:val="30"/>
        </w:numPr>
        <w:tabs>
          <w:tab w:val="left" w:pos="720"/>
        </w:tabs>
        <w:jc w:val="both"/>
        <w:rPr>
          <w:sz w:val="20"/>
          <w:szCs w:val="20"/>
        </w:rPr>
      </w:pPr>
      <w:r>
        <w:rPr>
          <w:sz w:val="20"/>
          <w:szCs w:val="20"/>
        </w:rPr>
        <w:t>Próbki oferowanego produktu – 5 sztuk  (min. 3 próbki zostaną ocenione zgodnie z Kartą oceny próbki przedmiotu zamówienia). Próbki należy przesłać do WCKiK SPZOZ ul. Koszykowa 78, 00-671 Warszawa.</w:t>
      </w:r>
    </w:p>
    <w:p w14:paraId="7A51A3FB" w14:textId="32F90442" w:rsidR="00C138C8" w:rsidRDefault="00C37894" w:rsidP="00C37894">
      <w:pPr>
        <w:pStyle w:val="Akapitzlist"/>
        <w:numPr>
          <w:ilvl w:val="0"/>
          <w:numId w:val="30"/>
        </w:numPr>
        <w:tabs>
          <w:tab w:val="left" w:pos="720"/>
        </w:tabs>
        <w:jc w:val="both"/>
        <w:rPr>
          <w:sz w:val="20"/>
          <w:szCs w:val="20"/>
        </w:rPr>
      </w:pPr>
      <w:r>
        <w:rPr>
          <w:sz w:val="20"/>
          <w:szCs w:val="20"/>
        </w:rPr>
        <w:t>Opinię co najmniej dwóch użytkowników pojemników potrójnych góra - dół do pobierania krwi.</w:t>
      </w:r>
    </w:p>
    <w:p w14:paraId="290CD0CB" w14:textId="77777777" w:rsidR="00C138C8" w:rsidRDefault="00C138C8">
      <w:pPr>
        <w:ind w:firstLine="7920"/>
        <w:jc w:val="center"/>
        <w:rPr>
          <w:sz w:val="20"/>
          <w:szCs w:val="20"/>
        </w:rPr>
      </w:pPr>
    </w:p>
    <w:p w14:paraId="6BB2B1EB" w14:textId="77777777" w:rsidR="00C138C8" w:rsidRDefault="000C7A40">
      <w:pPr>
        <w:jc w:val="both"/>
        <w:rPr>
          <w:sz w:val="20"/>
          <w:szCs w:val="20"/>
        </w:rPr>
      </w:pPr>
      <w:r>
        <w:rPr>
          <w:b/>
          <w:sz w:val="20"/>
          <w:szCs w:val="20"/>
        </w:rPr>
        <w:t>Miejsce dostaw</w:t>
      </w:r>
      <w:r>
        <w:rPr>
          <w:sz w:val="20"/>
          <w:szCs w:val="20"/>
        </w:rPr>
        <w:t>: Zespół Medyczny w Warszawie oraz Terenowe Stacje w Bydgoszczy, Wrocławiu, Lublinie, Krakowie, Szczecinie, Gdańsku, Ełku.</w:t>
      </w:r>
    </w:p>
    <w:p w14:paraId="41606AB9" w14:textId="77777777" w:rsidR="00C138C8" w:rsidRDefault="00C138C8">
      <w:pPr>
        <w:ind w:firstLine="7920"/>
        <w:jc w:val="center"/>
        <w:rPr>
          <w:sz w:val="20"/>
          <w:szCs w:val="20"/>
        </w:rPr>
      </w:pPr>
    </w:p>
    <w:p w14:paraId="2AEB19D8" w14:textId="77777777" w:rsidR="00C138C8" w:rsidRDefault="00C138C8">
      <w:pPr>
        <w:ind w:firstLine="7920"/>
        <w:jc w:val="center"/>
        <w:rPr>
          <w:sz w:val="20"/>
          <w:szCs w:val="20"/>
        </w:rPr>
      </w:pPr>
    </w:p>
    <w:p w14:paraId="184B36C2" w14:textId="77777777" w:rsidR="00C138C8" w:rsidRDefault="00C138C8">
      <w:pPr>
        <w:ind w:firstLine="7920"/>
        <w:jc w:val="center"/>
        <w:rPr>
          <w:sz w:val="20"/>
          <w:szCs w:val="20"/>
        </w:rPr>
      </w:pPr>
    </w:p>
    <w:p w14:paraId="1880684D" w14:textId="77777777" w:rsidR="00C138C8" w:rsidRDefault="000C7A40">
      <w:pPr>
        <w:ind w:firstLine="9356"/>
        <w:jc w:val="center"/>
        <w:rPr>
          <w:sz w:val="20"/>
          <w:szCs w:val="20"/>
        </w:rPr>
      </w:pPr>
      <w:r>
        <w:rPr>
          <w:sz w:val="20"/>
          <w:szCs w:val="20"/>
        </w:rPr>
        <w:t>…………………………………</w:t>
      </w:r>
    </w:p>
    <w:p w14:paraId="6EAF1045" w14:textId="3D907E06" w:rsidR="00C138C8" w:rsidRDefault="000C7A40" w:rsidP="00414893">
      <w:pPr>
        <w:pStyle w:val="western"/>
        <w:jc w:val="right"/>
      </w:pPr>
      <w:r>
        <w:rPr>
          <w:i/>
          <w:iCs/>
          <w:sz w:val="20"/>
          <w:szCs w:val="20"/>
        </w:rPr>
        <w:t xml:space="preserve">(Kwalifikowany podpis elektroniczny osoby/osób) </w:t>
      </w:r>
      <w:r>
        <w:rPr>
          <w:i/>
          <w:iCs/>
          <w:sz w:val="20"/>
          <w:szCs w:val="20"/>
        </w:rPr>
        <w:br/>
        <w:t>                                                     upoważnionej (</w:t>
      </w:r>
      <w:proofErr w:type="spellStart"/>
      <w:r>
        <w:rPr>
          <w:i/>
          <w:iCs/>
          <w:sz w:val="20"/>
          <w:szCs w:val="20"/>
        </w:rPr>
        <w:t>ych</w:t>
      </w:r>
      <w:proofErr w:type="spellEnd"/>
      <w:r>
        <w:rPr>
          <w:i/>
          <w:iCs/>
          <w:sz w:val="20"/>
          <w:szCs w:val="20"/>
        </w:rPr>
        <w:t>) do reprezentowania Wykonawcy</w:t>
      </w:r>
    </w:p>
    <w:sectPr w:rsidR="00C138C8">
      <w:pgSz w:w="16838" w:h="11906" w:orient="landscape"/>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E33"/>
    <w:multiLevelType w:val="hybridMultilevel"/>
    <w:tmpl w:val="3CD896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693D01"/>
    <w:multiLevelType w:val="multilevel"/>
    <w:tmpl w:val="26F4C8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E50436D"/>
    <w:multiLevelType w:val="hybridMultilevel"/>
    <w:tmpl w:val="BB7649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F746164"/>
    <w:multiLevelType w:val="multilevel"/>
    <w:tmpl w:val="22F8F5BA"/>
    <w:lvl w:ilvl="0">
      <w:numFmt w:val="decimal"/>
      <w:lvlText w:val=""/>
      <w:lvlJc w:val="left"/>
      <w:pPr>
        <w:tabs>
          <w:tab w:val="num" w:pos="360"/>
        </w:tabs>
        <w:ind w:left="360" w:hanging="360"/>
      </w:pPr>
      <w:rPr>
        <w:rFonts w:cs="Wingdings"/>
      </w:rPr>
    </w:lvl>
    <w:lvl w:ilvl="1">
      <w:start w:val="1"/>
      <w:numFmt w:val="decimal"/>
      <w:lvlText w:val="%2."/>
      <w:lvlJc w:val="left"/>
      <w:pPr>
        <w:tabs>
          <w:tab w:val="num" w:pos="517"/>
        </w:tabs>
        <w:ind w:left="517" w:hanging="360"/>
      </w:pPr>
    </w:lvl>
    <w:lvl w:ilvl="2">
      <w:start w:val="1"/>
      <w:numFmt w:val="decimal"/>
      <w:lvlText w:val="%3."/>
      <w:lvlJc w:val="left"/>
      <w:pPr>
        <w:tabs>
          <w:tab w:val="num" w:pos="877"/>
        </w:tabs>
        <w:ind w:left="877" w:hanging="360"/>
      </w:pPr>
    </w:lvl>
    <w:lvl w:ilvl="3">
      <w:start w:val="1"/>
      <w:numFmt w:val="decimal"/>
      <w:lvlText w:val="%4."/>
      <w:lvlJc w:val="left"/>
      <w:pPr>
        <w:tabs>
          <w:tab w:val="num" w:pos="1237"/>
        </w:tabs>
        <w:ind w:left="1237" w:hanging="360"/>
      </w:pPr>
    </w:lvl>
    <w:lvl w:ilvl="4">
      <w:start w:val="1"/>
      <w:numFmt w:val="decimal"/>
      <w:lvlText w:val="%5."/>
      <w:lvlJc w:val="left"/>
      <w:pPr>
        <w:tabs>
          <w:tab w:val="num" w:pos="1597"/>
        </w:tabs>
        <w:ind w:left="1597" w:hanging="360"/>
      </w:pPr>
    </w:lvl>
    <w:lvl w:ilvl="5">
      <w:start w:val="1"/>
      <w:numFmt w:val="decimal"/>
      <w:lvlText w:val="%6."/>
      <w:lvlJc w:val="left"/>
      <w:pPr>
        <w:tabs>
          <w:tab w:val="num" w:pos="1957"/>
        </w:tabs>
        <w:ind w:left="1957" w:hanging="360"/>
      </w:pPr>
    </w:lvl>
    <w:lvl w:ilvl="6">
      <w:start w:val="1"/>
      <w:numFmt w:val="decimal"/>
      <w:lvlText w:val="%7."/>
      <w:lvlJc w:val="left"/>
      <w:pPr>
        <w:tabs>
          <w:tab w:val="num" w:pos="2317"/>
        </w:tabs>
        <w:ind w:left="2317" w:hanging="360"/>
      </w:pPr>
    </w:lvl>
    <w:lvl w:ilvl="7">
      <w:start w:val="1"/>
      <w:numFmt w:val="decimal"/>
      <w:lvlText w:val="%8."/>
      <w:lvlJc w:val="left"/>
      <w:pPr>
        <w:tabs>
          <w:tab w:val="num" w:pos="2677"/>
        </w:tabs>
        <w:ind w:left="2677" w:hanging="360"/>
      </w:pPr>
    </w:lvl>
    <w:lvl w:ilvl="8">
      <w:start w:val="1"/>
      <w:numFmt w:val="decimal"/>
      <w:lvlText w:val="%9."/>
      <w:lvlJc w:val="left"/>
      <w:pPr>
        <w:tabs>
          <w:tab w:val="num" w:pos="3037"/>
        </w:tabs>
        <w:ind w:left="3037" w:hanging="360"/>
      </w:pPr>
    </w:lvl>
  </w:abstractNum>
  <w:num w:numId="1" w16cid:durableId="1992902088">
    <w:abstractNumId w:val="3"/>
  </w:num>
  <w:num w:numId="2" w16cid:durableId="1461847220">
    <w:abstractNumId w:val="1"/>
    <w:lvlOverride w:ilvl="0">
      <w:startOverride w:val="1"/>
    </w:lvlOverride>
  </w:num>
  <w:num w:numId="3" w16cid:durableId="193349025">
    <w:abstractNumId w:val="1"/>
  </w:num>
  <w:num w:numId="4" w16cid:durableId="883180618">
    <w:abstractNumId w:val="1"/>
  </w:num>
  <w:num w:numId="5" w16cid:durableId="1762066960">
    <w:abstractNumId w:val="1"/>
  </w:num>
  <w:num w:numId="6" w16cid:durableId="2038506166">
    <w:abstractNumId w:val="1"/>
  </w:num>
  <w:num w:numId="7" w16cid:durableId="1124420493">
    <w:abstractNumId w:val="1"/>
  </w:num>
  <w:num w:numId="8" w16cid:durableId="1564219414">
    <w:abstractNumId w:val="1"/>
  </w:num>
  <w:num w:numId="9" w16cid:durableId="602686589">
    <w:abstractNumId w:val="1"/>
  </w:num>
  <w:num w:numId="10" w16cid:durableId="2064867083">
    <w:abstractNumId w:val="1"/>
  </w:num>
  <w:num w:numId="11" w16cid:durableId="1418357980">
    <w:abstractNumId w:val="1"/>
  </w:num>
  <w:num w:numId="12" w16cid:durableId="2041541971">
    <w:abstractNumId w:val="1"/>
  </w:num>
  <w:num w:numId="13" w16cid:durableId="812527344">
    <w:abstractNumId w:val="1"/>
  </w:num>
  <w:num w:numId="14" w16cid:durableId="2130925670">
    <w:abstractNumId w:val="1"/>
  </w:num>
  <w:num w:numId="15" w16cid:durableId="2082368310">
    <w:abstractNumId w:val="1"/>
  </w:num>
  <w:num w:numId="16" w16cid:durableId="501160415">
    <w:abstractNumId w:val="1"/>
  </w:num>
  <w:num w:numId="17" w16cid:durableId="1975330470">
    <w:abstractNumId w:val="1"/>
  </w:num>
  <w:num w:numId="18" w16cid:durableId="528495676">
    <w:abstractNumId w:val="1"/>
  </w:num>
  <w:num w:numId="19" w16cid:durableId="1044478081">
    <w:abstractNumId w:val="1"/>
  </w:num>
  <w:num w:numId="20" w16cid:durableId="89353531">
    <w:abstractNumId w:val="1"/>
  </w:num>
  <w:num w:numId="21" w16cid:durableId="1431464953">
    <w:abstractNumId w:val="1"/>
  </w:num>
  <w:num w:numId="22" w16cid:durableId="816147218">
    <w:abstractNumId w:val="1"/>
  </w:num>
  <w:num w:numId="23" w16cid:durableId="726489304">
    <w:abstractNumId w:val="1"/>
  </w:num>
  <w:num w:numId="24" w16cid:durableId="88695614">
    <w:abstractNumId w:val="1"/>
  </w:num>
  <w:num w:numId="25" w16cid:durableId="707724374">
    <w:abstractNumId w:val="1"/>
  </w:num>
  <w:num w:numId="26" w16cid:durableId="55706221">
    <w:abstractNumId w:val="1"/>
  </w:num>
  <w:num w:numId="27" w16cid:durableId="1259020153">
    <w:abstractNumId w:val="1"/>
  </w:num>
  <w:num w:numId="28" w16cid:durableId="1543201604">
    <w:abstractNumId w:val="1"/>
  </w:num>
  <w:num w:numId="29" w16cid:durableId="1841849687">
    <w:abstractNumId w:val="0"/>
  </w:num>
  <w:num w:numId="30" w16cid:durableId="164137494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38C8"/>
    <w:rsid w:val="000C7A40"/>
    <w:rsid w:val="00117192"/>
    <w:rsid w:val="002107DA"/>
    <w:rsid w:val="00414893"/>
    <w:rsid w:val="005C7841"/>
    <w:rsid w:val="006031D6"/>
    <w:rsid w:val="00706A86"/>
    <w:rsid w:val="00770E49"/>
    <w:rsid w:val="008D65D3"/>
    <w:rsid w:val="00A320E6"/>
    <w:rsid w:val="00AE47B9"/>
    <w:rsid w:val="00BD2F70"/>
    <w:rsid w:val="00C138C8"/>
    <w:rsid w:val="00C37894"/>
    <w:rsid w:val="00C84294"/>
    <w:rsid w:val="00D27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DA3"/>
  <w15:docId w15:val="{142C570F-93FF-4289-B516-05DC163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2EF"/>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E52EF"/>
    <w:pPr>
      <w:ind w:left="720"/>
      <w:contextualSpacing/>
    </w:pPr>
  </w:style>
  <w:style w:type="paragraph" w:customStyle="1" w:styleId="Standardowy1">
    <w:name w:val="Standardowy1"/>
    <w:qFormat/>
    <w:rPr>
      <w:rFonts w:ascii="Times New Roman" w:eastAsia="Times New Roman" w:hAnsi="Times New Roman" w:cs="Times New Roman"/>
      <w:sz w:val="20"/>
      <w:szCs w:val="24"/>
      <w:lang w:eastAsia="pl-PL"/>
    </w:rPr>
  </w:style>
  <w:style w:type="character" w:styleId="Odwoaniedokomentarza">
    <w:name w:val="annotation reference"/>
    <w:basedOn w:val="Domylnaczcionkaakapitu"/>
    <w:uiPriority w:val="99"/>
    <w:semiHidden/>
    <w:unhideWhenUsed/>
    <w:rsid w:val="006031D6"/>
    <w:rPr>
      <w:sz w:val="16"/>
      <w:szCs w:val="16"/>
    </w:rPr>
  </w:style>
  <w:style w:type="paragraph" w:styleId="Tekstkomentarza">
    <w:name w:val="annotation text"/>
    <w:basedOn w:val="Normalny"/>
    <w:link w:val="TekstkomentarzaZnak"/>
    <w:uiPriority w:val="99"/>
    <w:unhideWhenUsed/>
    <w:rsid w:val="006031D6"/>
    <w:rPr>
      <w:sz w:val="20"/>
      <w:szCs w:val="20"/>
    </w:rPr>
  </w:style>
  <w:style w:type="character" w:customStyle="1" w:styleId="TekstkomentarzaZnak">
    <w:name w:val="Tekst komentarza Znak"/>
    <w:basedOn w:val="Domylnaczcionkaakapitu"/>
    <w:link w:val="Tekstkomentarza"/>
    <w:uiPriority w:val="99"/>
    <w:rsid w:val="006031D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031D6"/>
    <w:rPr>
      <w:b/>
      <w:bCs/>
    </w:rPr>
  </w:style>
  <w:style w:type="character" w:customStyle="1" w:styleId="TematkomentarzaZnak">
    <w:name w:val="Temat komentarza Znak"/>
    <w:basedOn w:val="TekstkomentarzaZnak"/>
    <w:link w:val="Tematkomentarza"/>
    <w:uiPriority w:val="99"/>
    <w:semiHidden/>
    <w:rsid w:val="006031D6"/>
    <w:rPr>
      <w:rFonts w:ascii="Times New Roman" w:eastAsia="Times New Roman" w:hAnsi="Times New Roman" w:cs="Times New Roman"/>
      <w:b/>
      <w:bCs/>
      <w:sz w:val="20"/>
      <w:szCs w:val="20"/>
      <w:lang w:eastAsia="ar-SA"/>
    </w:rPr>
  </w:style>
  <w:style w:type="paragraph" w:customStyle="1" w:styleId="western">
    <w:name w:val="western"/>
    <w:basedOn w:val="Normalny"/>
    <w:uiPriority w:val="99"/>
    <w:rsid w:val="000C7A40"/>
    <w:pPr>
      <w:suppressAutoHyphens w:val="0"/>
      <w:spacing w:before="100" w:beforeAutospacing="1" w:after="142" w:line="276" w:lineRule="auto"/>
    </w:pPr>
    <w:rPr>
      <w:rFonts w:eastAsia="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1303</Words>
  <Characters>7820</Characters>
  <Application>Microsoft Office Word</Application>
  <DocSecurity>0</DocSecurity>
  <Lines>65</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m.luciak</dc:creator>
  <dc:description/>
  <cp:lastModifiedBy>WCKIK Informatyk</cp:lastModifiedBy>
  <cp:revision>17</cp:revision>
  <cp:lastPrinted>2023-10-11T12:42:00Z</cp:lastPrinted>
  <dcterms:created xsi:type="dcterms:W3CDTF">2023-09-25T13:02:00Z</dcterms:created>
  <dcterms:modified xsi:type="dcterms:W3CDTF">2024-11-12T06:43:00Z</dcterms:modified>
  <dc:language>pl-PL</dc:language>
</cp:coreProperties>
</file>