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CE61" w14:textId="189A9630" w:rsidR="004D2D3F" w:rsidRPr="004D2D3F" w:rsidRDefault="004D2D3F" w:rsidP="004D2D3F">
      <w:pPr>
        <w:pStyle w:val="Nagwek1"/>
        <w:rPr>
          <w:rFonts w:eastAsia="Times New Roman"/>
        </w:rPr>
      </w:pPr>
      <w:r w:rsidRPr="004D2D3F">
        <w:rPr>
          <w:rFonts w:eastAsia="Times New Roman"/>
        </w:rPr>
        <w:t>OPIS PRZEDMIOTU ZAMÓWIENIA</w:t>
      </w:r>
    </w:p>
    <w:p w14:paraId="364E17CF" w14:textId="33673C9A" w:rsidR="004D2D3F" w:rsidRPr="004D2D3F" w:rsidRDefault="007B0055" w:rsidP="004D2D3F">
      <w:pPr>
        <w:pStyle w:val="Nagwek2"/>
        <w:rPr>
          <w:rFonts w:eastAsia="Times New Roman"/>
        </w:rPr>
      </w:pPr>
      <w:r>
        <w:rPr>
          <w:rFonts w:eastAsia="Times New Roman"/>
        </w:rPr>
        <w:t>CZĘŚĆ</w:t>
      </w:r>
      <w:r w:rsidRPr="004D2D3F">
        <w:rPr>
          <w:rFonts w:eastAsia="Times New Roman"/>
        </w:rPr>
        <w:t xml:space="preserve"> I</w:t>
      </w:r>
      <w:r>
        <w:rPr>
          <w:rFonts w:eastAsia="Times New Roman"/>
        </w:rPr>
        <w:t xml:space="preserve"> - </w:t>
      </w:r>
      <w:r w:rsidR="004D2D3F" w:rsidRPr="004D2D3F">
        <w:rPr>
          <w:rFonts w:eastAsia="Times New Roman"/>
        </w:rPr>
        <w:t>Ubezpieczenie mienia</w:t>
      </w:r>
      <w:r w:rsidR="006D521A">
        <w:rPr>
          <w:rFonts w:eastAsia="Times New Roman"/>
        </w:rPr>
        <w:t xml:space="preserve"> </w:t>
      </w:r>
      <w:r w:rsidR="001D51B8">
        <w:rPr>
          <w:rFonts w:eastAsia="Times New Roman"/>
        </w:rPr>
        <w:t>i sprzętu elektronicznego</w:t>
      </w:r>
      <w:r w:rsidR="004D2D3F" w:rsidRPr="004D2D3F">
        <w:rPr>
          <w:rFonts w:eastAsia="Times New Roman"/>
        </w:rPr>
        <w:t xml:space="preserve"> od </w:t>
      </w:r>
      <w:r w:rsidR="00CD4BB1">
        <w:rPr>
          <w:rFonts w:eastAsia="Times New Roman"/>
        </w:rPr>
        <w:t xml:space="preserve">wszystkich </w:t>
      </w:r>
      <w:proofErr w:type="spellStart"/>
      <w:r w:rsidR="00CD4BB1">
        <w:rPr>
          <w:rFonts w:eastAsia="Times New Roman"/>
        </w:rPr>
        <w:t>ryzyk</w:t>
      </w:r>
      <w:proofErr w:type="spellEnd"/>
    </w:p>
    <w:p w14:paraId="712F8882" w14:textId="7810E991" w:rsidR="004D2D3F" w:rsidRPr="00EE424A" w:rsidRDefault="004D2D3F" w:rsidP="004D2D3F">
      <w:pPr>
        <w:widowControl w:val="0"/>
        <w:tabs>
          <w:tab w:val="left" w:pos="3103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Cs w:val="20"/>
          <w:lang w:eastAsia="pl-PL"/>
        </w:rPr>
      </w:pPr>
      <w:r w:rsidRPr="00EE424A">
        <w:rPr>
          <w:rFonts w:ascii="Segoe UI" w:eastAsia="Times New Roman" w:hAnsi="Segoe UI" w:cs="Segoe UI"/>
          <w:b/>
          <w:color w:val="000000"/>
          <w:szCs w:val="20"/>
          <w:lang w:eastAsia="pl-PL"/>
        </w:rPr>
        <w:t>Załączniki:</w:t>
      </w:r>
    </w:p>
    <w:p w14:paraId="4794C635" w14:textId="4DA1F0D1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>Załącznik 1</w:t>
      </w:r>
      <w:r w:rsidR="00F2440C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I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</w:t>
      </w:r>
      <w:r w:rsidR="0026123E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do OPZ 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Zestawienie sum ubezpieczenia </w:t>
      </w:r>
    </w:p>
    <w:p w14:paraId="3184B725" w14:textId="4A6F5C0B" w:rsid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Załącznik </w:t>
      </w:r>
      <w:r w:rsidR="00BB6615">
        <w:rPr>
          <w:rFonts w:ascii="Segoe UI" w:eastAsia="Times New Roman" w:hAnsi="Segoe UI" w:cs="Segoe UI"/>
          <w:bCs/>
          <w:color w:val="000000"/>
          <w:szCs w:val="20"/>
          <w:lang w:eastAsia="pl-PL"/>
        </w:rPr>
        <w:t>2</w:t>
      </w:r>
      <w:r w:rsidR="00F2440C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I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</w:t>
      </w:r>
      <w:r w:rsidR="0026123E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do OPZ 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>Szkodowość</w:t>
      </w:r>
    </w:p>
    <w:p w14:paraId="1358DE61" w14:textId="3BC761D8" w:rsidR="003048FB" w:rsidRPr="004D2D3F" w:rsidRDefault="003048FB" w:rsidP="003048FB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Załącznik </w:t>
      </w:r>
      <w:r w:rsidR="00BB6615">
        <w:rPr>
          <w:rFonts w:ascii="Segoe UI" w:eastAsia="Times New Roman" w:hAnsi="Segoe UI" w:cs="Segoe UI"/>
          <w:bCs/>
          <w:color w:val="000000"/>
          <w:szCs w:val="20"/>
          <w:lang w:eastAsia="pl-PL"/>
        </w:rPr>
        <w:t>3</w:t>
      </w:r>
      <w:r w:rsidR="00F2440C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I</w:t>
      </w:r>
      <w:r w:rsidRPr="004D2D3F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 </w:t>
      </w:r>
      <w:r w:rsidR="0026123E"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do OPZ </w:t>
      </w:r>
      <w:r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Wykaz </w:t>
      </w:r>
      <w:r w:rsidR="001F638D">
        <w:rPr>
          <w:rFonts w:ascii="Segoe UI" w:eastAsia="Times New Roman" w:hAnsi="Segoe UI" w:cs="Segoe UI"/>
          <w:bCs/>
          <w:color w:val="000000"/>
          <w:szCs w:val="20"/>
          <w:lang w:eastAsia="pl-PL"/>
        </w:rPr>
        <w:t>nieruchomości</w:t>
      </w:r>
    </w:p>
    <w:p w14:paraId="4B0ED6F2" w14:textId="77777777" w:rsidR="003048FB" w:rsidRPr="004D2D3F" w:rsidRDefault="003048FB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1171D790" w14:textId="77777777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76773CC" w14:textId="77777777" w:rsidR="004D2D3F" w:rsidRPr="004D2D3F" w:rsidRDefault="004D2D3F" w:rsidP="004D2D3F">
      <w:pPr>
        <w:suppressAutoHyphens/>
        <w:spacing w:before="120" w:after="0" w:line="276" w:lineRule="auto"/>
        <w:ind w:right="565"/>
        <w:jc w:val="both"/>
        <w:rPr>
          <w:rFonts w:ascii="Segoe UI" w:eastAsia="Times New Roman" w:hAnsi="Segoe UI" w:cs="Segoe UI"/>
          <w:szCs w:val="20"/>
          <w:u w:val="single"/>
          <w:lang w:eastAsia="ar-SA"/>
        </w:rPr>
      </w:pPr>
      <w:r w:rsidRPr="004D2D3F">
        <w:rPr>
          <w:rFonts w:ascii="Segoe UI" w:eastAsia="Times New Roman" w:hAnsi="Segoe UI" w:cs="Segoe UI"/>
          <w:szCs w:val="20"/>
          <w:u w:val="single"/>
          <w:lang w:eastAsia="ar-SA"/>
        </w:rPr>
        <w:t>Załączniki, o których mowa powyżej są integralnymi składnikami niniejszego opisu przedmiotu zamówienia.</w:t>
      </w:r>
    </w:p>
    <w:p w14:paraId="36D233B3" w14:textId="77777777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235A3460" w14:textId="4FDEA603" w:rsidR="004D2D3F" w:rsidRPr="00971C41" w:rsidRDefault="004D2D3F" w:rsidP="008C453E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  <w:bookmarkStart w:id="0" w:name="_Hlk36394756"/>
      <w:r w:rsidRPr="004D2D3F">
        <w:rPr>
          <w:rStyle w:val="Nagwek3Znak"/>
          <w:rFonts w:eastAsiaTheme="minorHAnsi"/>
        </w:rPr>
        <w:t>OKRES UBEZPIECZENIA</w:t>
      </w:r>
      <w:bookmarkStart w:id="1" w:name="_Hlk37109540"/>
      <w:bookmarkEnd w:id="0"/>
      <w:r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 w:rsidR="005F3999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O</w:t>
      </w:r>
      <w:r w:rsidR="00971C41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kres rozliczeniowy: 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01.</w:t>
      </w:r>
      <w:r w:rsidR="00804B99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12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.202</w:t>
      </w:r>
      <w:r w:rsidR="00F56FAB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4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r. </w:t>
      </w:r>
      <w:r w:rsidR="00805FD7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- 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3</w:t>
      </w:r>
      <w:r w:rsidR="00804B99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0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.</w:t>
      </w:r>
      <w:r w:rsidR="00AE55FF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1</w:t>
      </w:r>
      <w:r w:rsidR="00804B99"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1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>.202</w:t>
      </w:r>
      <w:r w:rsidR="005A53DB">
        <w:rPr>
          <w:rFonts w:ascii="Segoe UI" w:eastAsia="Times New Roman" w:hAnsi="Segoe UI" w:cs="Segoe UI"/>
          <w:szCs w:val="20"/>
          <w:highlight w:val="yellow"/>
          <w:lang w:eastAsia="pl-PL"/>
        </w:rPr>
        <w:t>5</w:t>
      </w:r>
      <w:r w:rsidRPr="00F56FAB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r.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</w:t>
      </w:r>
      <w:bookmarkEnd w:id="1"/>
    </w:p>
    <w:p w14:paraId="569815C6" w14:textId="12C2C29A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WARUNKI ZAMÓWIENIA</w:t>
      </w:r>
      <w:r>
        <w:br/>
      </w:r>
    </w:p>
    <w:p w14:paraId="23883109" w14:textId="6269E6A8" w:rsidR="004D2D3F" w:rsidRPr="003652C0" w:rsidRDefault="004D2D3F" w:rsidP="008C453E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Postanowienia SWZ mają pierwszeństwo przed dokumentem potwierdzającym zawarcie umowy ubezpieczenia, który z kolei ma pierwszeństwo przed ogólnymi warunkami ubezpieczenia lub innymi równoważnymi warunkami ubezpieczenia. Nie</w:t>
      </w:r>
      <w:r w:rsidR="006E1EA4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dopuszcza się wprowadzenia przez Wykonawcę żadnych zmian oraz dodatkowych </w:t>
      </w:r>
      <w:proofErr w:type="spellStart"/>
      <w:r w:rsidRPr="004D2D3F">
        <w:rPr>
          <w:rFonts w:ascii="Segoe UI" w:eastAsia="Times New Roman" w:hAnsi="Segoe UI" w:cs="Segoe UI"/>
          <w:szCs w:val="20"/>
          <w:lang w:eastAsia="pl-PL"/>
        </w:rPr>
        <w:t>wyłączeń</w:t>
      </w:r>
      <w:proofErr w:type="spellEnd"/>
      <w:r w:rsidRPr="004D2D3F">
        <w:rPr>
          <w:rFonts w:ascii="Segoe UI" w:eastAsia="Times New Roman" w:hAnsi="Segoe UI" w:cs="Segoe UI"/>
          <w:szCs w:val="20"/>
          <w:lang w:eastAsia="pl-PL"/>
        </w:rPr>
        <w:t xml:space="preserve">/ograniczeń ochrony ubezpieczeniowej (w tym wprowadzania limitów odpowiedzialności) ponad te, które zawarte są w jego ogólnych warunkach ubezpieczenia lub innych równoważnych warunkach ubezpieczenia obowiązujących w dniu składania ofert, </w:t>
      </w:r>
      <w:r w:rsidRPr="003652C0">
        <w:rPr>
          <w:rFonts w:ascii="Segoe UI" w:eastAsia="Times New Roman" w:hAnsi="Segoe UI" w:cs="Segoe UI"/>
          <w:szCs w:val="20"/>
          <w:lang w:eastAsia="pl-PL"/>
        </w:rPr>
        <w:t>jak również innych, niż określone i dopuszczone przez Zamawiającego w treści SWZ.</w:t>
      </w:r>
    </w:p>
    <w:p w14:paraId="3ACDF385" w14:textId="478C0944" w:rsidR="004D2D3F" w:rsidRPr="004D2D3F" w:rsidRDefault="004D2D3F" w:rsidP="008C453E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Poniższe zapisy i klauzule dodatkowe zaoferowane przez Wykonawcę w formularzu ofertowym mają zastosowanie tylko wtedy, gdy nie zawężają ochrony ubezpieczeniowej (odpowiedzialności Wykonawcy) wskazanej w ogólnych warunkach ubezpieczenia (OWU). W sytuacji, gdy wskutek zastosowania klauzuli doszłoby do</w:t>
      </w:r>
      <w:r w:rsidR="006E1EA4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zawężenia odpowiedzialności Wykonawcy w relacji do OWU dla danego ubezpieczenia, to zastosowanie mają tylko te postanowienia w klauzulach dodatkowych, które tej odpowiedzialności nie zawężają oraz te, które tę odpowiedzialność rozszerzają.</w:t>
      </w:r>
    </w:p>
    <w:p w14:paraId="0A041993" w14:textId="2B992AF3" w:rsidR="004D2D3F" w:rsidRPr="004D2D3F" w:rsidRDefault="004D2D3F" w:rsidP="008C453E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Sumy ubezpieczenia podane przez Zamawiającego w SWZ ustalone są według stanu na dzień</w:t>
      </w:r>
      <w:r w:rsidR="0050081E">
        <w:rPr>
          <w:rFonts w:ascii="Segoe UI" w:eastAsia="Times New Roman" w:hAnsi="Segoe UI" w:cs="Segoe UI"/>
          <w:szCs w:val="20"/>
          <w:highlight w:val="yellow"/>
          <w:lang w:eastAsia="pl-PL"/>
        </w:rPr>
        <w:t xml:space="preserve"> 30.10.2024r.</w:t>
      </w:r>
      <w:bookmarkStart w:id="2" w:name="_GoBack"/>
      <w:bookmarkEnd w:id="2"/>
    </w:p>
    <w:p w14:paraId="5A55D13A" w14:textId="77777777" w:rsidR="004D2D3F" w:rsidRPr="004D2D3F" w:rsidRDefault="004D2D3F" w:rsidP="008C453E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</w:rPr>
        <w:t>Warunki płatności:</w:t>
      </w:r>
    </w:p>
    <w:p w14:paraId="4212B6A5" w14:textId="315AD6D4" w:rsidR="004D2D3F" w:rsidRPr="004D2D3F" w:rsidRDefault="004D2D3F" w:rsidP="00905CD6">
      <w:pPr>
        <w:widowControl w:val="0"/>
        <w:autoSpaceDE w:val="0"/>
        <w:autoSpaceDN w:val="0"/>
        <w:spacing w:after="0" w:line="276" w:lineRule="auto"/>
        <w:ind w:left="720"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2E5FB4">
        <w:rPr>
          <w:rFonts w:ascii="Segoe UI" w:eastAsia="Times New Roman" w:hAnsi="Segoe UI" w:cs="Segoe UI"/>
          <w:szCs w:val="20"/>
        </w:rPr>
        <w:t>Składka</w:t>
      </w:r>
      <w:r w:rsidR="00C718E5">
        <w:rPr>
          <w:rFonts w:ascii="Segoe UI" w:eastAsia="Times New Roman" w:hAnsi="Segoe UI" w:cs="Segoe UI"/>
          <w:szCs w:val="20"/>
        </w:rPr>
        <w:t xml:space="preserve"> płatna przelewem</w:t>
      </w:r>
      <w:r w:rsidRPr="002E5FB4">
        <w:rPr>
          <w:rFonts w:ascii="Segoe UI" w:eastAsia="Times New Roman" w:hAnsi="Segoe UI" w:cs="Segoe UI"/>
          <w:szCs w:val="20"/>
        </w:rPr>
        <w:t xml:space="preserve"> </w:t>
      </w:r>
      <w:r w:rsidR="00DF762B">
        <w:rPr>
          <w:rFonts w:ascii="Segoe UI" w:eastAsia="Times New Roman" w:hAnsi="Segoe UI" w:cs="Segoe UI"/>
          <w:szCs w:val="20"/>
        </w:rPr>
        <w:t>jednorazowo w każdym okresie rozliczeniowym, w terminie 30 dni od doręczenia prawidłowo wystawionej polisy.</w:t>
      </w:r>
    </w:p>
    <w:p w14:paraId="62F5B108" w14:textId="77777777" w:rsidR="004D2D3F" w:rsidRPr="004D2D3F" w:rsidRDefault="004D2D3F" w:rsidP="008C453E">
      <w:pPr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- Daty składki</w:t>
      </w:r>
    </w:p>
    <w:p w14:paraId="069558A0" w14:textId="46DFE071" w:rsidR="004D2D3F" w:rsidRPr="004D2D3F" w:rsidRDefault="004D2D3F" w:rsidP="004D2D3F">
      <w:pPr>
        <w:spacing w:after="0" w:line="276" w:lineRule="auto"/>
        <w:ind w:left="708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napToGrid w:val="0"/>
          <w:szCs w:val="20"/>
        </w:rPr>
        <w:t xml:space="preserve">Dniem zapłaty składki jest dzień złożenia dyspozycji przelewu kwoty </w:t>
      </w:r>
      <w:r w:rsidRPr="004D2D3F">
        <w:rPr>
          <w:rFonts w:ascii="Segoe UI" w:eastAsia="Times New Roman" w:hAnsi="Segoe UI" w:cs="Segoe UI"/>
          <w:szCs w:val="20"/>
        </w:rPr>
        <w:t>należnej z tytułu opłaty składki</w:t>
      </w:r>
      <w:r w:rsidR="00C718E5">
        <w:rPr>
          <w:rFonts w:ascii="Segoe UI" w:eastAsia="Times New Roman" w:hAnsi="Segoe UI" w:cs="Segoe UI"/>
          <w:szCs w:val="20"/>
        </w:rPr>
        <w:t xml:space="preserve">, </w:t>
      </w:r>
      <w:r w:rsidRPr="004D2D3F">
        <w:rPr>
          <w:rFonts w:ascii="Segoe UI" w:eastAsia="Times New Roman" w:hAnsi="Segoe UI" w:cs="Segoe UI"/>
          <w:szCs w:val="20"/>
        </w:rPr>
        <w:t xml:space="preserve">o ile stan środków na rachunku bankowym Zamawiającego pozwalał na zrealizowanie płatności. Nieopłacenie składki upoważnia </w:t>
      </w:r>
      <w:r w:rsidRPr="002E5FB4">
        <w:rPr>
          <w:rFonts w:ascii="Segoe UI" w:eastAsia="Times New Roman" w:hAnsi="Segoe UI" w:cs="Segoe UI"/>
          <w:szCs w:val="20"/>
        </w:rPr>
        <w:t>Wykonawc</w:t>
      </w:r>
      <w:r w:rsidR="002E5FB4">
        <w:rPr>
          <w:rFonts w:ascii="Segoe UI" w:eastAsia="Times New Roman" w:hAnsi="Segoe UI" w:cs="Segoe UI"/>
          <w:szCs w:val="20"/>
        </w:rPr>
        <w:t>ę</w:t>
      </w:r>
      <w:r w:rsidRPr="004D2D3F">
        <w:rPr>
          <w:rFonts w:ascii="Segoe UI" w:eastAsia="Times New Roman" w:hAnsi="Segoe UI" w:cs="Segoe UI"/>
          <w:szCs w:val="20"/>
        </w:rPr>
        <w:t xml:space="preserve"> do</w:t>
      </w:r>
      <w:r w:rsidR="003B2CE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odstąpienia </w:t>
      </w:r>
      <w:r w:rsidRPr="004D2D3F">
        <w:rPr>
          <w:rFonts w:ascii="Segoe UI" w:eastAsia="Times New Roman" w:hAnsi="Segoe UI" w:cs="Segoe UI"/>
          <w:szCs w:val="20"/>
        </w:rPr>
        <w:lastRenderedPageBreak/>
        <w:t>od umowy ubezpieczenia po uprzednim wezwaniu do zapłaty i wyznaczeniu dodatkowego terminu, nie krótszego niż 7 dni od daty doręczenia (nieopłacenie składki nie powoduje automatycznego wygaśnięcia ochrony ubezpieczeniowej).</w:t>
      </w:r>
    </w:p>
    <w:p w14:paraId="6029814A" w14:textId="3F76AF96" w:rsidR="004D2D3F" w:rsidRPr="004D2D3F" w:rsidRDefault="004D2D3F" w:rsidP="008C453E">
      <w:pPr>
        <w:widowControl w:val="0"/>
        <w:numPr>
          <w:ilvl w:val="0"/>
          <w:numId w:val="3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 xml:space="preserve">Klauzula  pro  rata   temporis </w:t>
      </w:r>
    </w:p>
    <w:p w14:paraId="3351CE2C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708" w:right="566"/>
        <w:jc w:val="both"/>
        <w:rPr>
          <w:rFonts w:ascii="Segoe UI" w:eastAsia="Times New Roman" w:hAnsi="Segoe UI" w:cs="Segoe UI"/>
          <w:i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Wszelkie</w:t>
      </w:r>
      <w:r w:rsidRPr="004D2D3F">
        <w:rPr>
          <w:rFonts w:ascii="Segoe UI" w:eastAsia="Times New Roman" w:hAnsi="Segoe UI" w:cs="Segoe UI"/>
          <w:bCs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rozliczenia wynikające z niniejszej umowy, a w</w:t>
      </w:r>
      <w:r w:rsidRPr="004D2D3F">
        <w:rPr>
          <w:rFonts w:ascii="Segoe UI" w:eastAsia="Times New Roman" w:hAnsi="Segoe UI" w:cs="Segoe UI"/>
          <w:bCs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szczególności związane z dopłatą oraz zwrotem składek dokonywane będą w systemie pro rata za każdy dzień ochrony ubezpieczeniowej, o ile nie zostaną rozliczone na mocy klauzuli automatycznego pokrycia</w:t>
      </w:r>
      <w:r w:rsidRPr="004D2D3F">
        <w:rPr>
          <w:rFonts w:ascii="Segoe UI" w:eastAsia="Times New Roman" w:hAnsi="Segoe UI" w:cs="Segoe UI"/>
          <w:i/>
          <w:szCs w:val="20"/>
        </w:rPr>
        <w:t xml:space="preserve">. </w:t>
      </w:r>
    </w:p>
    <w:p w14:paraId="645F431A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359E2379" w14:textId="00E836AF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PRZEDMIOT UBEZPIECZENIA</w:t>
      </w:r>
    </w:p>
    <w:p w14:paraId="0EC3A96F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</w:p>
    <w:p w14:paraId="0347BDF3" w14:textId="7CA990A5" w:rsidR="004D2D3F" w:rsidRPr="004D2D3F" w:rsidRDefault="004D2D3F" w:rsidP="00F004A2">
      <w:pPr>
        <w:widowControl w:val="0"/>
        <w:autoSpaceDE w:val="0"/>
        <w:autoSpaceDN w:val="0"/>
        <w:spacing w:after="0" w:line="276" w:lineRule="auto"/>
        <w:ind w:left="142"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Przedmiotem ubezpieczenia jest całe mienie Zamawiającego – stanowiące jego własność lub będące w posiadaniu na podstawie tytułu prawnego (w tym na podstawie umowy najmu, użyczenia, itp.), wg którego na Zamawiającym ciąży odpowiedzialność za to mienie i/lub obowiązek ubezpieczenia (mienie własne oraz powierzone). Bez konieczności dostarczania wykazu. Zadeklarowane do ubezpieczenia mienie to w szczególności:</w:t>
      </w:r>
    </w:p>
    <w:p w14:paraId="0D1665C8" w14:textId="7261CA29" w:rsidR="00DF09FF" w:rsidRPr="00DF09FF" w:rsidRDefault="004D2D3F" w:rsidP="761AE2E7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lang w:eastAsia="pl-PL"/>
        </w:rPr>
      </w:pPr>
      <w:r w:rsidRPr="00B7030C">
        <w:rPr>
          <w:rFonts w:ascii="Segoe UI" w:eastAsia="Times New Roman" w:hAnsi="Segoe UI" w:cs="Segoe UI"/>
          <w:b/>
          <w:bCs/>
          <w:lang w:eastAsia="pl-PL"/>
        </w:rPr>
        <w:t>Budynki i lokale</w:t>
      </w:r>
      <w:r w:rsidRPr="00DF09FF">
        <w:rPr>
          <w:rFonts w:ascii="Segoe UI" w:eastAsia="Times New Roman" w:hAnsi="Segoe UI" w:cs="Segoe UI"/>
          <w:lang w:eastAsia="pl-PL"/>
        </w:rPr>
        <w:t xml:space="preserve"> (wraz z wszelkimi instalacjami i sieciami wew. oraz zew. np.</w:t>
      </w:r>
      <w:r w:rsidR="008E536B">
        <w:rPr>
          <w:rFonts w:ascii="Segoe UI" w:eastAsia="Times New Roman" w:hAnsi="Segoe UI" w:cs="Segoe UI"/>
          <w:lang w:eastAsia="pl-PL"/>
        </w:rPr>
        <w:t> </w:t>
      </w:r>
      <w:r w:rsidRPr="00DF09FF">
        <w:rPr>
          <w:rFonts w:ascii="Segoe UI" w:eastAsia="Times New Roman" w:hAnsi="Segoe UI" w:cs="Segoe UI"/>
          <w:lang w:eastAsia="pl-PL"/>
        </w:rPr>
        <w:t>internetowymi, energetycznymi, oraz elewacją, schodami wewnętrznymi i zewnętrznymi, windami stanowiącymi części składowe budynków, itp.),</w:t>
      </w:r>
    </w:p>
    <w:p w14:paraId="724ED6B6" w14:textId="30F2ECB1" w:rsidR="004D2D3F" w:rsidRPr="00DF09FF" w:rsidRDefault="004D2D3F" w:rsidP="761AE2E7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lang w:eastAsia="pl-PL"/>
        </w:rPr>
      </w:pPr>
      <w:r w:rsidRPr="00B7030C">
        <w:rPr>
          <w:rFonts w:ascii="Segoe UI" w:eastAsia="Times New Roman" w:hAnsi="Segoe UI" w:cs="Segoe UI"/>
          <w:b/>
          <w:bCs/>
          <w:lang w:eastAsia="pl-PL"/>
        </w:rPr>
        <w:t>Obiekty inżynierii lądowej</w:t>
      </w:r>
      <w:r w:rsidR="0099209D">
        <w:rPr>
          <w:rFonts w:ascii="Segoe UI" w:eastAsia="Times New Roman" w:hAnsi="Segoe UI" w:cs="Segoe UI"/>
          <w:b/>
          <w:bCs/>
          <w:lang w:eastAsia="pl-PL"/>
        </w:rPr>
        <w:t xml:space="preserve"> i wodnej</w:t>
      </w:r>
      <w:r w:rsidRPr="00DF09FF">
        <w:rPr>
          <w:rFonts w:ascii="Segoe UI" w:eastAsia="Times New Roman" w:hAnsi="Segoe UI" w:cs="Segoe UI"/>
          <w:lang w:eastAsia="pl-PL"/>
        </w:rPr>
        <w:t xml:space="preserve"> (w szczególności</w:t>
      </w:r>
      <w:r w:rsidR="007F34A1">
        <w:rPr>
          <w:rFonts w:ascii="Segoe UI" w:eastAsia="Times New Roman" w:hAnsi="Segoe UI" w:cs="Segoe UI"/>
          <w:lang w:eastAsia="pl-PL"/>
        </w:rPr>
        <w:t xml:space="preserve">: </w:t>
      </w:r>
      <w:r w:rsidR="00BE02D7">
        <w:rPr>
          <w:rFonts w:ascii="Segoe UI" w:eastAsia="Times New Roman" w:hAnsi="Segoe UI" w:cs="Segoe UI"/>
          <w:lang w:eastAsia="pl-PL"/>
        </w:rPr>
        <w:t xml:space="preserve">ogrodzenia, </w:t>
      </w:r>
      <w:r w:rsidRPr="00DF09FF">
        <w:rPr>
          <w:rFonts w:ascii="Segoe UI" w:eastAsia="Times New Roman" w:hAnsi="Segoe UI" w:cs="Segoe UI"/>
          <w:lang w:eastAsia="pl-PL"/>
        </w:rPr>
        <w:t>chodniki, parkingi, drogi, rurociągi sieci rozdzielczej, linie rozdzielcze, rurociągi, linie telekomunikacyjne i elektroniczne, przesyłowe kable/ instalacje  teletechniczne, tablice informacyjne i reklamowe w terenie,</w:t>
      </w:r>
      <w:r w:rsidR="00DF2DE6">
        <w:rPr>
          <w:rFonts w:ascii="Segoe UI" w:eastAsia="Times New Roman" w:hAnsi="Segoe UI" w:cs="Segoe UI"/>
          <w:lang w:eastAsia="pl-PL"/>
        </w:rPr>
        <w:t xml:space="preserve"> budowle wodne,</w:t>
      </w:r>
      <w:r w:rsidRPr="00DF09FF">
        <w:rPr>
          <w:rFonts w:ascii="Segoe UI" w:eastAsia="Times New Roman" w:hAnsi="Segoe UI" w:cs="Segoe UI"/>
          <w:lang w:eastAsia="pl-PL"/>
        </w:rPr>
        <w:t xml:space="preserve"> oświetlenie zewnętrzne i inne),</w:t>
      </w:r>
    </w:p>
    <w:p w14:paraId="558FF03D" w14:textId="726F0EA6" w:rsidR="004D2D3F" w:rsidRPr="00DF09FF" w:rsidRDefault="004D2D3F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B7030C">
        <w:rPr>
          <w:rFonts w:ascii="Segoe UI" w:eastAsia="Times New Roman" w:hAnsi="Segoe UI" w:cs="Segoe UI"/>
          <w:b/>
          <w:bCs/>
          <w:szCs w:val="20"/>
          <w:lang w:eastAsia="pl-PL"/>
        </w:rPr>
        <w:t>Kotły i maszyny energetyczne</w:t>
      </w:r>
      <w:r w:rsidRPr="00DF09FF">
        <w:rPr>
          <w:rFonts w:ascii="Segoe UI" w:eastAsia="Times New Roman" w:hAnsi="Segoe UI" w:cs="Segoe UI"/>
          <w:szCs w:val="20"/>
          <w:lang w:eastAsia="pl-PL"/>
        </w:rPr>
        <w:t xml:space="preserve"> (w szczególności: kotły grzejne i parowe, zespoły prądotwórcze)</w:t>
      </w:r>
      <w:r w:rsidR="00C60559">
        <w:rPr>
          <w:rFonts w:ascii="Segoe UI" w:eastAsia="Times New Roman" w:hAnsi="Segoe UI" w:cs="Segoe UI"/>
          <w:szCs w:val="20"/>
          <w:lang w:eastAsia="pl-PL"/>
        </w:rPr>
        <w:t>;</w:t>
      </w:r>
    </w:p>
    <w:p w14:paraId="0E004920" w14:textId="0B13C725" w:rsidR="004D2D3F" w:rsidRPr="004D2D3F" w:rsidRDefault="004D2D3F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  <w:r w:rsidRPr="00855938">
        <w:rPr>
          <w:rFonts w:ascii="Segoe UI" w:eastAsia="Times New Roman" w:hAnsi="Segoe UI" w:cs="Segoe UI"/>
          <w:b/>
          <w:bCs/>
          <w:szCs w:val="20"/>
          <w:lang w:eastAsia="pl-PL"/>
        </w:rPr>
        <w:t>Maszyny, urządzenia i aparaty ogólnego zastosowania</w:t>
      </w:r>
      <w:r w:rsidRPr="00DF09FF">
        <w:rPr>
          <w:rFonts w:ascii="Segoe UI" w:eastAsia="Times New Roman" w:hAnsi="Segoe UI" w:cs="Segoe UI"/>
          <w:szCs w:val="20"/>
          <w:lang w:eastAsia="pl-PL"/>
        </w:rPr>
        <w:t xml:space="preserve"> (w szczególności</w:t>
      </w:r>
      <w:r w:rsidRPr="004D2D3F">
        <w:rPr>
          <w:rFonts w:ascii="Segoe UI" w:eastAsia="Times New Roman" w:hAnsi="Segoe UI" w:cs="Segoe UI"/>
          <w:bCs/>
          <w:szCs w:val="20"/>
          <w:lang w:eastAsia="pl-PL"/>
        </w:rPr>
        <w:t>: sprzęt elektroniczny stacjonarny i przenośny</w:t>
      </w:r>
      <w:r w:rsidR="00C60559">
        <w:rPr>
          <w:rFonts w:ascii="Segoe UI" w:eastAsia="Times New Roman" w:hAnsi="Segoe UI" w:cs="Segoe UI"/>
          <w:bCs/>
          <w:szCs w:val="20"/>
          <w:lang w:eastAsia="pl-PL"/>
        </w:rPr>
        <w:t xml:space="preserve"> (w tym telefony komórkowe); </w:t>
      </w:r>
      <w:r w:rsidR="00DD19B6">
        <w:rPr>
          <w:rFonts w:ascii="Segoe UI" w:eastAsia="Times New Roman" w:hAnsi="Segoe UI" w:cs="Segoe UI"/>
          <w:bCs/>
          <w:szCs w:val="20"/>
          <w:lang w:eastAsia="pl-PL"/>
        </w:rPr>
        <w:t>w</w:t>
      </w:r>
      <w:r w:rsidR="00DD19B6" w:rsidRPr="00DD19B6">
        <w:rPr>
          <w:rFonts w:ascii="Segoe UI" w:eastAsia="Times New Roman" w:hAnsi="Segoe UI" w:cs="Segoe UI"/>
          <w:bCs/>
          <w:szCs w:val="20"/>
          <w:lang w:eastAsia="pl-PL"/>
        </w:rPr>
        <w:t>iertarki, wytaczarki i wiertarko-frezarki</w:t>
      </w:r>
      <w:r w:rsidR="00DD19B6">
        <w:rPr>
          <w:rFonts w:ascii="Segoe UI" w:eastAsia="Times New Roman" w:hAnsi="Segoe UI" w:cs="Segoe UI"/>
          <w:bCs/>
          <w:szCs w:val="20"/>
          <w:lang w:eastAsia="pl-PL"/>
        </w:rPr>
        <w:t>;</w:t>
      </w:r>
      <w:r w:rsidR="009D551D">
        <w:rPr>
          <w:rFonts w:ascii="Segoe UI" w:eastAsia="Times New Roman" w:hAnsi="Segoe UI" w:cs="Segoe UI"/>
          <w:bCs/>
          <w:szCs w:val="20"/>
          <w:lang w:eastAsia="pl-PL"/>
        </w:rPr>
        <w:t xml:space="preserve"> m</w:t>
      </w:r>
      <w:r w:rsidR="009D551D" w:rsidRPr="009D551D">
        <w:rPr>
          <w:rFonts w:ascii="Segoe UI" w:eastAsia="Times New Roman" w:hAnsi="Segoe UI" w:cs="Segoe UI"/>
          <w:bCs/>
          <w:szCs w:val="20"/>
          <w:lang w:eastAsia="pl-PL"/>
        </w:rPr>
        <w:t>łoty i kuźniarki</w:t>
      </w:r>
      <w:r w:rsidR="009D551D">
        <w:rPr>
          <w:rFonts w:ascii="Segoe UI" w:eastAsia="Times New Roman" w:hAnsi="Segoe UI" w:cs="Segoe UI"/>
          <w:bCs/>
          <w:szCs w:val="20"/>
          <w:lang w:eastAsia="pl-PL"/>
        </w:rPr>
        <w:t>; pompy)</w:t>
      </w:r>
      <w:r w:rsidR="00C60559">
        <w:rPr>
          <w:rFonts w:ascii="Segoe UI" w:eastAsia="Times New Roman" w:hAnsi="Segoe UI" w:cs="Segoe UI"/>
          <w:bCs/>
          <w:szCs w:val="20"/>
          <w:lang w:eastAsia="pl-PL"/>
        </w:rPr>
        <w:t>;</w:t>
      </w:r>
    </w:p>
    <w:p w14:paraId="3C0218DB" w14:textId="59387235" w:rsidR="004D2D3F" w:rsidRPr="00DF09FF" w:rsidRDefault="002E0C96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2E0C96">
        <w:rPr>
          <w:rFonts w:ascii="Segoe UI" w:eastAsia="Times New Roman" w:hAnsi="Segoe UI" w:cs="Segoe UI"/>
          <w:b/>
          <w:bCs/>
          <w:szCs w:val="20"/>
          <w:lang w:eastAsia="pl-PL"/>
        </w:rPr>
        <w:t>Maszyny, urządzenia i aparaty specjalistyczne</w:t>
      </w:r>
      <w:r w:rsidR="00502287">
        <w:rPr>
          <w:rFonts w:ascii="Segoe UI" w:eastAsia="Times New Roman" w:hAnsi="Segoe UI" w:cs="Segoe UI"/>
          <w:b/>
          <w:bCs/>
          <w:szCs w:val="20"/>
          <w:lang w:eastAsia="pl-PL"/>
        </w:rPr>
        <w:t xml:space="preserve"> </w:t>
      </w:r>
      <w:r w:rsidR="004D2D3F" w:rsidRPr="00DF09FF">
        <w:rPr>
          <w:rFonts w:ascii="Segoe UI" w:eastAsia="Times New Roman" w:hAnsi="Segoe UI" w:cs="Segoe UI"/>
          <w:szCs w:val="20"/>
          <w:lang w:eastAsia="pl-PL"/>
        </w:rPr>
        <w:t>(w szczególności:</w:t>
      </w:r>
      <w:r w:rsidR="00EC4741">
        <w:rPr>
          <w:rFonts w:ascii="Segoe UI" w:eastAsia="Times New Roman" w:hAnsi="Segoe UI" w:cs="Segoe UI"/>
          <w:szCs w:val="20"/>
          <w:lang w:eastAsia="pl-PL"/>
        </w:rPr>
        <w:t xml:space="preserve"> m</w:t>
      </w:r>
      <w:r w:rsidR="00EC4741" w:rsidRPr="00EC4741">
        <w:rPr>
          <w:rFonts w:ascii="Segoe UI" w:eastAsia="Times New Roman" w:hAnsi="Segoe UI" w:cs="Segoe UI"/>
          <w:szCs w:val="20"/>
          <w:lang w:eastAsia="pl-PL"/>
        </w:rPr>
        <w:t>aszyny do robót ziemnych i fundamentowych</w:t>
      </w:r>
      <w:r w:rsidR="00111121">
        <w:rPr>
          <w:rFonts w:ascii="Segoe UI" w:eastAsia="Times New Roman" w:hAnsi="Segoe UI" w:cs="Segoe UI"/>
          <w:szCs w:val="20"/>
          <w:lang w:eastAsia="pl-PL"/>
        </w:rPr>
        <w:t xml:space="preserve">; </w:t>
      </w:r>
      <w:r w:rsidR="00817780">
        <w:rPr>
          <w:rFonts w:ascii="Segoe UI" w:eastAsia="Times New Roman" w:hAnsi="Segoe UI" w:cs="Segoe UI"/>
          <w:szCs w:val="20"/>
          <w:lang w:eastAsia="pl-PL"/>
        </w:rPr>
        <w:t xml:space="preserve">maszyny budowlane (np. </w:t>
      </w:r>
      <w:r w:rsidR="00545FAA">
        <w:rPr>
          <w:rFonts w:ascii="Segoe UI" w:eastAsia="Times New Roman" w:hAnsi="Segoe UI" w:cs="Segoe UI"/>
          <w:szCs w:val="20"/>
          <w:lang w:eastAsia="pl-PL"/>
        </w:rPr>
        <w:t xml:space="preserve">koparko-ładowarki); </w:t>
      </w:r>
      <w:r w:rsidR="00111121">
        <w:rPr>
          <w:rFonts w:ascii="Segoe UI" w:eastAsia="Times New Roman" w:hAnsi="Segoe UI" w:cs="Segoe UI"/>
          <w:szCs w:val="20"/>
          <w:lang w:eastAsia="pl-PL"/>
        </w:rPr>
        <w:t>a</w:t>
      </w:r>
      <w:r w:rsidR="00111121" w:rsidRPr="00111121">
        <w:rPr>
          <w:rFonts w:ascii="Segoe UI" w:eastAsia="Times New Roman" w:hAnsi="Segoe UI" w:cs="Segoe UI"/>
          <w:szCs w:val="20"/>
          <w:lang w:eastAsia="pl-PL"/>
        </w:rPr>
        <w:t>paraty i urządzenia do pomiarów i zabiegów geofizycznych, geodezyjnych, fotogrametrycznych, kartograficznych</w:t>
      </w:r>
      <w:r w:rsidR="00111121">
        <w:rPr>
          <w:rFonts w:ascii="Segoe UI" w:eastAsia="Times New Roman" w:hAnsi="Segoe UI" w:cs="Segoe UI"/>
          <w:szCs w:val="20"/>
          <w:lang w:eastAsia="pl-PL"/>
        </w:rPr>
        <w:t>; m</w:t>
      </w:r>
      <w:r w:rsidR="00111121" w:rsidRPr="00111121">
        <w:rPr>
          <w:rFonts w:ascii="Segoe UI" w:eastAsia="Times New Roman" w:hAnsi="Segoe UI" w:cs="Segoe UI"/>
          <w:szCs w:val="20"/>
          <w:lang w:eastAsia="pl-PL"/>
        </w:rPr>
        <w:t>aszyny i urządzenia do siewu, sadzenia, nawożenia i deszczowania</w:t>
      </w:r>
      <w:r w:rsidR="00111121">
        <w:rPr>
          <w:rFonts w:ascii="Segoe UI" w:eastAsia="Times New Roman" w:hAnsi="Segoe UI" w:cs="Segoe UI"/>
          <w:szCs w:val="20"/>
          <w:lang w:eastAsia="pl-PL"/>
        </w:rPr>
        <w:t>;</w:t>
      </w:r>
      <w:r w:rsidR="00044F5A">
        <w:rPr>
          <w:rFonts w:ascii="Segoe UI" w:eastAsia="Times New Roman" w:hAnsi="Segoe UI" w:cs="Segoe UI"/>
          <w:szCs w:val="20"/>
          <w:lang w:eastAsia="pl-PL"/>
        </w:rPr>
        <w:t xml:space="preserve"> m</w:t>
      </w:r>
      <w:r w:rsidR="00044F5A" w:rsidRPr="00044F5A">
        <w:rPr>
          <w:rFonts w:ascii="Segoe UI" w:eastAsia="Times New Roman" w:hAnsi="Segoe UI" w:cs="Segoe UI"/>
          <w:szCs w:val="20"/>
          <w:lang w:eastAsia="pl-PL"/>
        </w:rPr>
        <w:t>aszyny i narzędzia pielęgnacyjne</w:t>
      </w:r>
      <w:r w:rsidR="00044F5A">
        <w:rPr>
          <w:rFonts w:ascii="Segoe UI" w:eastAsia="Times New Roman" w:hAnsi="Segoe UI" w:cs="Segoe UI"/>
          <w:szCs w:val="20"/>
          <w:lang w:eastAsia="pl-PL"/>
        </w:rPr>
        <w:t>; m</w:t>
      </w:r>
      <w:r w:rsidR="00044F5A" w:rsidRPr="00044F5A">
        <w:rPr>
          <w:rFonts w:ascii="Segoe UI" w:eastAsia="Times New Roman" w:hAnsi="Segoe UI" w:cs="Segoe UI"/>
          <w:szCs w:val="20"/>
          <w:lang w:eastAsia="pl-PL"/>
        </w:rPr>
        <w:t>aszyny i urządzenia do ochrony roślin</w:t>
      </w:r>
      <w:r w:rsidR="00044F5A">
        <w:rPr>
          <w:rFonts w:ascii="Segoe UI" w:eastAsia="Times New Roman" w:hAnsi="Segoe UI" w:cs="Segoe UI"/>
          <w:szCs w:val="20"/>
          <w:lang w:eastAsia="pl-PL"/>
        </w:rPr>
        <w:t>;</w:t>
      </w:r>
      <w:r w:rsidR="00C61C90">
        <w:rPr>
          <w:rFonts w:ascii="Segoe UI" w:eastAsia="Times New Roman" w:hAnsi="Segoe UI" w:cs="Segoe UI"/>
          <w:szCs w:val="20"/>
          <w:lang w:eastAsia="pl-PL"/>
        </w:rPr>
        <w:t xml:space="preserve"> m</w:t>
      </w:r>
      <w:r w:rsidR="00C61C90" w:rsidRPr="00C61C90">
        <w:rPr>
          <w:rFonts w:ascii="Segoe UI" w:eastAsia="Times New Roman" w:hAnsi="Segoe UI" w:cs="Segoe UI"/>
          <w:szCs w:val="20"/>
          <w:lang w:eastAsia="pl-PL"/>
        </w:rPr>
        <w:t>aszyny i urządzenia do czyszczenia, sortowania i zaprawiania ziemiopłodów</w:t>
      </w:r>
      <w:r w:rsidR="00C61C90">
        <w:rPr>
          <w:rFonts w:ascii="Segoe UI" w:eastAsia="Times New Roman" w:hAnsi="Segoe UI" w:cs="Segoe UI"/>
          <w:szCs w:val="20"/>
          <w:lang w:eastAsia="pl-PL"/>
        </w:rPr>
        <w:t>)</w:t>
      </w:r>
    </w:p>
    <w:p w14:paraId="54078B00" w14:textId="6FD84A20" w:rsidR="004D2D3F" w:rsidRPr="00DF09FF" w:rsidRDefault="004D2D3F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855938">
        <w:rPr>
          <w:rFonts w:ascii="Segoe UI" w:eastAsia="Times New Roman" w:hAnsi="Segoe UI" w:cs="Segoe UI"/>
          <w:b/>
          <w:bCs/>
          <w:szCs w:val="20"/>
          <w:lang w:eastAsia="pl-PL"/>
        </w:rPr>
        <w:t>Urządzenia techniczne</w:t>
      </w:r>
      <w:r w:rsidRPr="00DF09FF">
        <w:rPr>
          <w:rFonts w:ascii="Segoe UI" w:eastAsia="Times New Roman" w:hAnsi="Segoe UI" w:cs="Segoe UI"/>
          <w:szCs w:val="20"/>
          <w:lang w:eastAsia="pl-PL"/>
        </w:rPr>
        <w:t xml:space="preserve"> (w szczególności: </w:t>
      </w:r>
      <w:r w:rsidR="0088642B" w:rsidRPr="00F8381B">
        <w:rPr>
          <w:rFonts w:ascii="Segoe UI" w:eastAsia="Times New Roman" w:hAnsi="Segoe UI" w:cs="Segoe UI"/>
          <w:szCs w:val="20"/>
          <w:lang w:eastAsia="pl-PL"/>
        </w:rPr>
        <w:t xml:space="preserve">zbiorniki stalowe; urządzenia rozdzielcze prądu zmiennego; aparatura prądu zmiennego; stacje transformatorowe stałe i mobilne; aparatura prądu stałego; urządzenia odbiorcze dla radiofonii i telewizji; urządzenia do zapisu i odtwarzania dźwięku i obrazu; urządzenia odbiorcze i transmisyjne dla telefonii i telegrafii; urządzenia alarmowe i sygnalizacyjne; transformatory; suwnice i wsadzarki; urządzenia wentylacyjne; urządzenia klimatyzacyjne; urządzenia do oczyszczania wody i ścieków; pozostałe urządzenia przemysłowe, gdzie indziej </w:t>
      </w:r>
      <w:r w:rsidR="0088642B" w:rsidRPr="00F8381B">
        <w:rPr>
          <w:rFonts w:ascii="Segoe UI" w:eastAsia="Times New Roman" w:hAnsi="Segoe UI" w:cs="Segoe UI"/>
          <w:szCs w:val="20"/>
          <w:lang w:eastAsia="pl-PL"/>
        </w:rPr>
        <w:lastRenderedPageBreak/>
        <w:t>niesklasyfikowane; urządzenia przeciwpożarowe; urządzenia i aparatura do przeprowadzania badań technicznych; pozostałe urządzenia nieprzemysłowe</w:t>
      </w:r>
      <w:r w:rsidR="0088642B">
        <w:rPr>
          <w:rFonts w:ascii="Segoe UI" w:eastAsia="Times New Roman" w:hAnsi="Segoe UI" w:cs="Segoe UI"/>
          <w:szCs w:val="20"/>
          <w:lang w:eastAsia="pl-PL"/>
        </w:rPr>
        <w:t>)</w:t>
      </w:r>
    </w:p>
    <w:p w14:paraId="5732B319" w14:textId="7D101D10" w:rsidR="009110DB" w:rsidRPr="00FA2820" w:rsidRDefault="009110DB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  <w:r w:rsidRPr="009110DB">
        <w:rPr>
          <w:rFonts w:ascii="Segoe UI" w:eastAsia="Times New Roman" w:hAnsi="Segoe UI" w:cs="Segoe UI"/>
          <w:b/>
          <w:bCs/>
          <w:szCs w:val="20"/>
          <w:lang w:eastAsia="pl-PL"/>
        </w:rPr>
        <w:t>narzędzia, przyrządy, ruchomości i wyposażenie, gdzie indziej niesklasyfikowane</w:t>
      </w:r>
      <w:r>
        <w:rPr>
          <w:rFonts w:ascii="Segoe UI" w:eastAsia="Times New Roman" w:hAnsi="Segoe UI" w:cs="Segoe UI"/>
          <w:b/>
          <w:bCs/>
          <w:szCs w:val="20"/>
          <w:lang w:eastAsia="pl-PL"/>
        </w:rPr>
        <w:t xml:space="preserve"> </w:t>
      </w:r>
      <w:r w:rsidRPr="008B2BC0">
        <w:rPr>
          <w:rFonts w:ascii="Segoe UI" w:eastAsia="Times New Roman" w:hAnsi="Segoe UI" w:cs="Segoe UI"/>
          <w:szCs w:val="20"/>
          <w:lang w:eastAsia="pl-PL"/>
        </w:rPr>
        <w:t>(w</w:t>
      </w:r>
      <w:r w:rsidRPr="00DF09FF">
        <w:rPr>
          <w:rFonts w:ascii="Segoe UI" w:eastAsia="Times New Roman" w:hAnsi="Segoe UI" w:cs="Segoe UI"/>
          <w:szCs w:val="20"/>
          <w:lang w:eastAsia="pl-PL"/>
        </w:rPr>
        <w:t xml:space="preserve"> szczególności:</w:t>
      </w:r>
      <w:r w:rsidR="003127B1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="003127B1" w:rsidRPr="003127B1">
        <w:rPr>
          <w:rFonts w:ascii="Segoe UI" w:eastAsia="Times New Roman" w:hAnsi="Segoe UI" w:cs="Segoe UI"/>
          <w:szCs w:val="20"/>
          <w:lang w:eastAsia="pl-PL"/>
        </w:rPr>
        <w:t xml:space="preserve">kioski, budki, baraki, </w:t>
      </w:r>
      <w:r w:rsidR="00FD4C10">
        <w:rPr>
          <w:rFonts w:ascii="Segoe UI" w:eastAsia="Times New Roman" w:hAnsi="Segoe UI" w:cs="Segoe UI"/>
          <w:szCs w:val="20"/>
          <w:lang w:eastAsia="pl-PL"/>
        </w:rPr>
        <w:t>kontenery</w:t>
      </w:r>
      <w:r w:rsidR="003127B1" w:rsidRPr="003127B1">
        <w:rPr>
          <w:rFonts w:ascii="Segoe UI" w:eastAsia="Times New Roman" w:hAnsi="Segoe UI" w:cs="Segoe UI"/>
          <w:szCs w:val="20"/>
          <w:lang w:eastAsia="pl-PL"/>
        </w:rPr>
        <w:t>; wyposażenie techniczne dla prac biurowych</w:t>
      </w:r>
      <w:r w:rsidR="00C62C2C">
        <w:rPr>
          <w:rFonts w:ascii="Segoe UI" w:eastAsia="Times New Roman" w:hAnsi="Segoe UI" w:cs="Segoe UI"/>
          <w:szCs w:val="20"/>
          <w:lang w:eastAsia="pl-PL"/>
        </w:rPr>
        <w:t>; p</w:t>
      </w:r>
      <w:r w:rsidR="00C62C2C" w:rsidRPr="00C62C2C">
        <w:rPr>
          <w:rFonts w:ascii="Segoe UI" w:eastAsia="Times New Roman" w:hAnsi="Segoe UI" w:cs="Segoe UI"/>
          <w:szCs w:val="20"/>
          <w:lang w:eastAsia="pl-PL"/>
        </w:rPr>
        <w:t>ozostałe narzędzia, przyrządy, ruchomości i wyposażenie, gdzie indziej niesklasyfikowane</w:t>
      </w:r>
      <w:r w:rsidR="00561D1E">
        <w:rPr>
          <w:rFonts w:ascii="Segoe UI" w:eastAsia="Times New Roman" w:hAnsi="Segoe UI" w:cs="Segoe UI"/>
          <w:szCs w:val="20"/>
          <w:lang w:eastAsia="pl-PL"/>
        </w:rPr>
        <w:t>)</w:t>
      </w:r>
    </w:p>
    <w:p w14:paraId="32507992" w14:textId="40ABD3F1" w:rsidR="004D2D3F" w:rsidRPr="001F5046" w:rsidRDefault="00AA1037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1F5046">
        <w:rPr>
          <w:rFonts w:ascii="Segoe UI" w:eastAsia="Times New Roman" w:hAnsi="Segoe UI" w:cs="Segoe UI"/>
          <w:szCs w:val="20"/>
          <w:lang w:eastAsia="pl-PL"/>
        </w:rPr>
        <w:t>Mienie</w:t>
      </w:r>
      <w:r w:rsidR="004D2D3F" w:rsidRPr="001F5046">
        <w:rPr>
          <w:rFonts w:ascii="Segoe UI" w:eastAsia="Times New Roman" w:hAnsi="Segoe UI" w:cs="Segoe UI"/>
          <w:szCs w:val="20"/>
          <w:lang w:eastAsia="pl-PL"/>
        </w:rPr>
        <w:t xml:space="preserve"> </w:t>
      </w:r>
      <w:proofErr w:type="spellStart"/>
      <w:r w:rsidR="004D2D3F" w:rsidRPr="001F5046">
        <w:rPr>
          <w:rFonts w:ascii="Segoe UI" w:eastAsia="Times New Roman" w:hAnsi="Segoe UI" w:cs="Segoe UI"/>
          <w:szCs w:val="20"/>
          <w:lang w:eastAsia="pl-PL"/>
        </w:rPr>
        <w:t>niskocenne</w:t>
      </w:r>
      <w:proofErr w:type="spellEnd"/>
      <w:r w:rsidR="004D2D3F" w:rsidRPr="001F5046">
        <w:rPr>
          <w:rFonts w:ascii="Segoe UI" w:eastAsia="Times New Roman" w:hAnsi="Segoe UI" w:cs="Segoe UI"/>
          <w:szCs w:val="20"/>
          <w:lang w:eastAsia="pl-PL"/>
        </w:rPr>
        <w:t>,</w:t>
      </w:r>
    </w:p>
    <w:p w14:paraId="5454A53D" w14:textId="68EAFA52" w:rsidR="004D2D3F" w:rsidRPr="003E574E" w:rsidRDefault="004D2D3F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3"/>
        <w:jc w:val="both"/>
        <w:rPr>
          <w:rFonts w:ascii="Segoe UI" w:eastAsia="Times New Roman" w:hAnsi="Segoe UI" w:cs="Segoe UI"/>
          <w:b/>
          <w:bCs/>
          <w:szCs w:val="20"/>
          <w:lang w:eastAsia="pl-PL"/>
        </w:rPr>
      </w:pPr>
      <w:r w:rsidRPr="003E574E">
        <w:rPr>
          <w:rFonts w:ascii="Segoe UI" w:eastAsia="Times New Roman" w:hAnsi="Segoe UI" w:cs="Segoe UI"/>
          <w:szCs w:val="20"/>
          <w:lang w:eastAsia="pl-PL"/>
        </w:rPr>
        <w:t>Mienie pracownicze,</w:t>
      </w:r>
    </w:p>
    <w:p w14:paraId="535AF633" w14:textId="05CA141C" w:rsidR="004D2D3F" w:rsidRPr="003E574E" w:rsidRDefault="00D45D1C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3E574E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="004D2D3F" w:rsidRPr="003E574E">
        <w:rPr>
          <w:rFonts w:ascii="Segoe UI" w:eastAsia="Times New Roman" w:hAnsi="Segoe UI" w:cs="Segoe UI"/>
          <w:szCs w:val="20"/>
          <w:lang w:eastAsia="pl-PL"/>
        </w:rPr>
        <w:t>Wartości</w:t>
      </w:r>
      <w:r w:rsidR="004D2D3F" w:rsidRPr="003E574E">
        <w:rPr>
          <w:rFonts w:ascii="Segoe UI" w:eastAsia="Times New Roman" w:hAnsi="Segoe UI" w:cs="Segoe UI"/>
          <w:bCs/>
          <w:szCs w:val="20"/>
          <w:lang w:eastAsia="pl-PL"/>
        </w:rPr>
        <w:t xml:space="preserve"> pieniężne w kasie, w lokalu oraz w transporcie,</w:t>
      </w:r>
    </w:p>
    <w:p w14:paraId="3472277A" w14:textId="16EB7310" w:rsidR="00B44144" w:rsidRPr="00260DC5" w:rsidRDefault="00B44144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3E574E">
        <w:rPr>
          <w:rFonts w:ascii="Segoe UI" w:eastAsia="Times New Roman" w:hAnsi="Segoe UI" w:cs="Segoe UI"/>
          <w:bCs/>
          <w:szCs w:val="20"/>
          <w:lang w:eastAsia="pl-PL"/>
        </w:rPr>
        <w:t xml:space="preserve"> Środki obrotowe</w:t>
      </w:r>
    </w:p>
    <w:p w14:paraId="61A9F02C" w14:textId="5FFA3263" w:rsidR="00260DC5" w:rsidRPr="003E574E" w:rsidRDefault="00260DC5" w:rsidP="008C453E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bCs/>
          <w:szCs w:val="20"/>
          <w:lang w:eastAsia="pl-PL"/>
        </w:rPr>
        <w:t>Zbiory archiwalne</w:t>
      </w:r>
    </w:p>
    <w:p w14:paraId="09F73A64" w14:textId="0EE00F69" w:rsidR="000609C2" w:rsidRPr="00585CD4" w:rsidRDefault="00B131ED" w:rsidP="00FA2820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="004D2D3F" w:rsidRPr="00585CD4">
        <w:rPr>
          <w:rFonts w:ascii="Segoe UI" w:eastAsia="Times New Roman" w:hAnsi="Segoe UI" w:cs="Segoe UI"/>
          <w:szCs w:val="20"/>
          <w:lang w:eastAsia="pl-PL"/>
        </w:rPr>
        <w:t>Szyby i inne przedmioty szklane</w:t>
      </w:r>
    </w:p>
    <w:p w14:paraId="3003036C" w14:textId="7EA71116" w:rsidR="000609C2" w:rsidRDefault="000609C2" w:rsidP="000609C2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6A476470" w14:textId="77777777" w:rsidR="000609C2" w:rsidRDefault="000609C2" w:rsidP="000609C2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3DF71EC8" w14:textId="0F8FAF15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ZAKRES OCHRONY</w:t>
      </w:r>
      <w:r w:rsidR="00F004A2">
        <w:br/>
      </w:r>
    </w:p>
    <w:p w14:paraId="4C64C1A3" w14:textId="74797F80" w:rsidR="004D2D3F" w:rsidRPr="004D2D3F" w:rsidRDefault="004D2D3F" w:rsidP="008C453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 xml:space="preserve">Zakres ubezpieczenia oparty jest na formule wszelkich </w:t>
      </w:r>
      <w:proofErr w:type="spellStart"/>
      <w:r w:rsidRPr="004D2D3F">
        <w:rPr>
          <w:rFonts w:ascii="Segoe UI" w:eastAsia="Times New Roman" w:hAnsi="Segoe UI" w:cs="Segoe UI"/>
          <w:szCs w:val="20"/>
          <w:lang w:eastAsia="pl-PL"/>
        </w:rPr>
        <w:t>ryzyk</w:t>
      </w:r>
      <w:proofErr w:type="spellEnd"/>
      <w:r w:rsidRPr="004D2D3F">
        <w:rPr>
          <w:rFonts w:ascii="Segoe UI" w:eastAsia="Times New Roman" w:hAnsi="Segoe UI" w:cs="Segoe UI"/>
          <w:szCs w:val="20"/>
          <w:lang w:eastAsia="pl-PL"/>
        </w:rPr>
        <w:t xml:space="preserve"> utraty lub uszkodzenia ubezpieczonego mienia, z uwzględnieniem postanowień określonych w klauzulach dodatkowych i obejmuje szkody polegające na fizycznej utracie, uszkodzeniu lub zniszczeniu ubezpieczonego mienia, będącego bezpośrednim następstwem przewidzianego w umowie zdarzenia o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charakterze losowym i niepewnym, które wystąpiło nagle, nieprzewidzianie i niezależnie 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od woli Zamawiającego i zaistniało w miejscu i w okresie ubezpieczenia.</w:t>
      </w:r>
    </w:p>
    <w:p w14:paraId="50656208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5C6EA240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 zakresu ochrony ubezpieczeniowej w szczególności nie mogą być wyłączone szkody spowodowane przez:</w:t>
      </w:r>
    </w:p>
    <w:p w14:paraId="1B5346D2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pożar</w:t>
      </w:r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,</w:t>
      </w:r>
    </w:p>
    <w:p w14:paraId="64D0AA66" w14:textId="163C7433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uderzenie pioruna </w:t>
      </w:r>
      <w:r w:rsidRPr="004D2D3F">
        <w:rPr>
          <w:rFonts w:ascii="Segoe UI" w:eastAsia="Times New Roman" w:hAnsi="Segoe UI" w:cs="Segoe UI"/>
          <w:szCs w:val="20"/>
          <w:lang w:eastAsia="pl-PL"/>
        </w:rPr>
        <w:t>(działanie bezpośrednie i pośrednie) – w tym szkody w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sieciach i instalacjach</w:t>
      </w:r>
      <w:r w:rsidR="00F004A2">
        <w:rPr>
          <w:rFonts w:ascii="Segoe UI" w:eastAsia="Times New Roman" w:hAnsi="Segoe UI" w:cs="Segoe UI"/>
          <w:szCs w:val="20"/>
          <w:lang w:eastAsia="pl-PL"/>
        </w:rPr>
        <w:t>,</w:t>
      </w:r>
    </w:p>
    <w:p w14:paraId="3425E92A" w14:textId="28428B84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przepięcia oraz zmiany w natężeniu prądu – w tym szkody w sieciach i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instalacjach</w:t>
      </w:r>
      <w:r w:rsidR="00F004A2">
        <w:rPr>
          <w:rFonts w:ascii="Segoe UI" w:eastAsia="Times New Roman" w:hAnsi="Segoe UI" w:cs="Segoe UI"/>
          <w:szCs w:val="20"/>
          <w:lang w:eastAsia="pl-PL"/>
        </w:rPr>
        <w:t>,</w:t>
      </w:r>
    </w:p>
    <w:p w14:paraId="2D6ECF7E" w14:textId="3C43460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proofErr w:type="spellStart"/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wybuch</w:t>
      </w:r>
      <w:proofErr w:type="spellEnd"/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,</w:t>
      </w:r>
    </w:p>
    <w:p w14:paraId="0F1AE972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upadek</w:t>
      </w:r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 xml:space="preserve"> 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statku powietrznego</w:t>
      </w:r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,</w:t>
      </w:r>
    </w:p>
    <w:p w14:paraId="167A77A2" w14:textId="7BE2499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huragan</w:t>
      </w:r>
      <w:r w:rsidR="00F004A2">
        <w:rPr>
          <w:rFonts w:ascii="Segoe UI" w:eastAsia="Times New Roman" w:hAnsi="Segoe UI" w:cs="Segoe UI"/>
          <w:iCs/>
          <w:szCs w:val="20"/>
          <w:lang w:eastAsia="pl-PL"/>
        </w:rPr>
        <w:t>,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</w:p>
    <w:p w14:paraId="734C44AF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deszcz nawalny</w:t>
      </w:r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,</w:t>
      </w:r>
    </w:p>
    <w:p w14:paraId="4FF3EEAD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powódź,</w:t>
      </w:r>
    </w:p>
    <w:p w14:paraId="5C183B7D" w14:textId="332E17E6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działania wód gruntowych lub opadowych, zmian i wahań w poziomie wody gruntowej, </w:t>
      </w:r>
    </w:p>
    <w:p w14:paraId="28AEFFAE" w14:textId="3020C0F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lawinę, napór lodu lub śniegu (</w:t>
      </w:r>
      <w:r w:rsidRPr="004D2D3F">
        <w:rPr>
          <w:rFonts w:ascii="Segoe UI" w:eastAsia="Times New Roman" w:hAnsi="Segoe UI" w:cs="Segoe UI"/>
          <w:szCs w:val="20"/>
          <w:lang w:eastAsia="pl-PL"/>
        </w:rPr>
        <w:t>działanie bezpośrednie i pośrednie na</w:t>
      </w:r>
      <w:r w:rsidR="00F86AEE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ubezpieczone mienie)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, </w:t>
      </w:r>
    </w:p>
    <w:p w14:paraId="5C9384CF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 xml:space="preserve">deszcz (bez względu na współczynnik natężenia), wilgoć, parę wodną, 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grad,</w:t>
      </w:r>
    </w:p>
    <w:p w14:paraId="61C7CD04" w14:textId="639C5234" w:rsidR="00FB6D4B" w:rsidRPr="00FB6D4B" w:rsidRDefault="004D2D3F" w:rsidP="00FB6D4B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trzęsienie ziemi, zapadanie lub osuwanie się ziemi, </w:t>
      </w:r>
    </w:p>
    <w:p w14:paraId="147B347C" w14:textId="133B375E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zalanie przez wydostawanie się wody, innych cieczy lub pary z urządzeń 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lastRenderedPageBreak/>
        <w:t xml:space="preserve">wodno-kanalizacyjnych lub technologicznych (przewodów, zbiorników lub innych instalacji) 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w tym szkody spowodowane awarią, cofnięciem się wody lub ścieków z urządzeń kanalizacyjnych, samoczynnym otworzeniem się główek tryskaczowych z innych przyczyn niż wskutek ognia, nieumyślnym pozostawieniem otwartych kranów lub innych zaworów w urządzeniach, zalanie przez topniejący śnieg lub lód, deszcz nawalny niezależnie od stanu technicznego, o ile zły stan techniczny nie był efektem długotrwałych zaniedbań i rażącego niedbalstwa; koszty </w:t>
      </w:r>
      <w:r w:rsidR="00F004A2">
        <w:rPr>
          <w:rFonts w:ascii="Segoe UI" w:eastAsia="Times New Roman" w:hAnsi="Segoe UI" w:cs="Segoe UI"/>
          <w:szCs w:val="20"/>
          <w:lang w:eastAsia="pl-PL"/>
        </w:rPr>
        <w:br/>
      </w:r>
      <w:r w:rsidRPr="004D2D3F">
        <w:rPr>
          <w:rFonts w:ascii="Segoe UI" w:eastAsia="Times New Roman" w:hAnsi="Segoe UI" w:cs="Segoe UI"/>
          <w:szCs w:val="20"/>
          <w:lang w:eastAsia="pl-PL"/>
        </w:rPr>
        <w:t>naprawy uszkodzonych wskutek pęknięcia lub zamarznięcia przewodów i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urządzeń będących we władaniu Zamawiającego, znajdujących się wewnątrz ubezpieczonego budynku, lub na posesji objętej ubezpieczeniem, łącznie z kosztami robót pomocniczych związanych z ich naprawą i rozmrażaniem, </w:t>
      </w:r>
    </w:p>
    <w:p w14:paraId="55993570" w14:textId="44A55BE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dym i sadza </w:t>
      </w:r>
      <w:r w:rsidRPr="004D2D3F">
        <w:rPr>
          <w:rFonts w:ascii="Segoe UI" w:eastAsia="Times New Roman" w:hAnsi="Segoe UI" w:cs="Segoe UI"/>
          <w:szCs w:val="20"/>
          <w:lang w:eastAsia="pl-PL"/>
        </w:rPr>
        <w:t>(przy czym za dym i sadzę rozumie się zawiesinę cząsteczek w</w:t>
      </w:r>
      <w:r w:rsidR="00BB4815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gazie będącą bezpośrednim skutkiem spalania lub działania wysokiej temperatury, niezależnie od miejsca, w którym spalanie lub działanie wysokiej temperatury wystąpiło),</w:t>
      </w:r>
    </w:p>
    <w:p w14:paraId="71A3F2F6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upadek drzew lub budowli na ubezpieczone mienie,</w:t>
      </w:r>
    </w:p>
    <w:p w14:paraId="39ACA913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uderzenie pojazdu, w tym uderzenie pojazdu należącego i/lub użytkowanego przez Zamawiającego,</w:t>
      </w:r>
    </w:p>
    <w:p w14:paraId="2FDF1259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val="en-GB"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huk ponaddźwiękowy</w:t>
      </w:r>
      <w:r w:rsidRPr="004D2D3F">
        <w:rPr>
          <w:rFonts w:ascii="Segoe UI" w:eastAsia="Times New Roman" w:hAnsi="Segoe UI" w:cs="Segoe UI"/>
          <w:iCs/>
          <w:szCs w:val="20"/>
          <w:lang w:val="en-GB" w:eastAsia="pl-PL"/>
        </w:rPr>
        <w:t>,</w:t>
      </w:r>
      <w:bookmarkStart w:id="3" w:name="_Toc144782799"/>
    </w:p>
    <w:bookmarkEnd w:id="3"/>
    <w:p w14:paraId="0979AEEE" w14:textId="4E98A7BE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b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szCs w:val="20"/>
          <w:lang w:eastAsia="pl-PL"/>
        </w:rPr>
        <w:t>kradzież z włamaniem i rabunek, wartości pieniężnych w kasie, w lokalu oraz w transporcie (z włączeniem ryzyka rabunku podczas załadunku i</w:t>
      </w:r>
      <w:r w:rsidR="00F004A2">
        <w:rPr>
          <w:rFonts w:ascii="Segoe UI" w:eastAsia="Times New Roman" w:hAnsi="Segoe UI" w:cs="Segoe UI"/>
          <w:b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bCs/>
          <w:szCs w:val="20"/>
          <w:lang w:eastAsia="pl-PL"/>
        </w:rPr>
        <w:t>rozładunku wartości pieniężnych).</w:t>
      </w:r>
    </w:p>
    <w:p w14:paraId="1C3893B7" w14:textId="77777777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1843" w:right="566"/>
        <w:jc w:val="both"/>
        <w:rPr>
          <w:rFonts w:ascii="Segoe UI" w:eastAsia="Times New Roman" w:hAnsi="Segoe UI" w:cs="Segoe UI"/>
          <w:b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szCs w:val="20"/>
          <w:lang w:eastAsia="pl-PL"/>
        </w:rPr>
        <w:t>Kradzież z włamaniem ma miejsce wtedy, gdy:</w:t>
      </w:r>
    </w:p>
    <w:p w14:paraId="4187903F" w14:textId="64429809" w:rsidR="004D2D3F" w:rsidRPr="004D2D3F" w:rsidRDefault="004D2D3F" w:rsidP="008C453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2410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sprawca dokonał zaboru mienia w celu przywłaszczenia z</w:t>
      </w:r>
      <w:r w:rsidR="00F004A2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zamkniętego budynku, budowli, lokalu lub środka transportu, po usunięciu przy użyciu siły i narzędzi zainstalowanych zabezpieczeń, lub po otworzeniu zabezpieczeń oryginalnym kluczem lub kartą magnetyczną, które sprawca zdobył w drodze kradzieży z</w:t>
      </w:r>
      <w:r w:rsidR="00F004A2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włamaniem z innego lokalu lub w drodze rabunku,</w:t>
      </w:r>
    </w:p>
    <w:p w14:paraId="08B5A6A5" w14:textId="1814F7C7" w:rsidR="004D2D3F" w:rsidRPr="004D2D3F" w:rsidRDefault="004D2D3F" w:rsidP="008C453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2410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sprawca dokonał zaboru mienia w celu przywłaszczenia z</w:t>
      </w:r>
      <w:r w:rsidR="00F004A2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zamkniętego budynku, budowli, lokalu lub środka transportu po</w:t>
      </w:r>
      <w:r w:rsidR="00F86AEE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otworzeniu zabezpieczeń podrobionym lub dopasowanym kluczem,</w:t>
      </w:r>
    </w:p>
    <w:p w14:paraId="3BC6AEAE" w14:textId="2B2BE49B" w:rsidR="004D2D3F" w:rsidRPr="004D2D3F" w:rsidRDefault="004D2D3F" w:rsidP="008C453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2410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sprawca dokonał zaboru mienia w celu jego przywłaszczenia z</w:t>
      </w:r>
      <w:r w:rsidR="00F004A2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budynku, budowli, lokalu, środka transportu, w którym ukrył się przed jego zamknięciem i pozostawił ślady mogące stanowić dowód jego potajemnego ukrycia,</w:t>
      </w:r>
    </w:p>
    <w:p w14:paraId="50281F87" w14:textId="52071777" w:rsidR="004D2D3F" w:rsidRPr="004D2D3F" w:rsidRDefault="004D2D3F" w:rsidP="008C453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2410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sprawca dokonał zaboru mienia, które ze względu na swój charakter znajduje się na zewnątrz budynków lub budowli lub poza nimi. Mienie to powinno być zainstalowane lub zabezpieczone w</w:t>
      </w:r>
      <w:r w:rsidR="00F004A2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taki sposób, aby jego wymontowanie nie było możliwe bez pozostawienia śladów użycia siły lub narzędzi.</w:t>
      </w:r>
      <w:r w:rsidR="00F004A2">
        <w:rPr>
          <w:rFonts w:ascii="Segoe UI" w:eastAsia="Times New Roman" w:hAnsi="Segoe UI" w:cs="Segoe UI"/>
          <w:szCs w:val="20"/>
          <w:lang w:eastAsia="pl-PL"/>
        </w:rPr>
        <w:br/>
      </w:r>
    </w:p>
    <w:p w14:paraId="2E4E6179" w14:textId="5078DDAD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iCs/>
          <w:szCs w:val="20"/>
          <w:lang w:eastAsia="pl-PL"/>
        </w:rPr>
        <w:lastRenderedPageBreak/>
        <w:t>kradzież zwykła – kradzież nie nosząca znamion kradzieży z włamaniem i</w:t>
      </w:r>
      <w:r w:rsidR="00F004A2">
        <w:rPr>
          <w:rFonts w:ascii="Segoe UI" w:eastAsia="Times New Roman" w:hAnsi="Segoe UI" w:cs="Segoe UI"/>
          <w:bCs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rabunku, w tym kradzież z pojazdu; utrata mienia w niewyjaśnionych okolicznościach, </w:t>
      </w:r>
    </w:p>
    <w:p w14:paraId="1E0A49ED" w14:textId="376389F4" w:rsidR="00F004A2" w:rsidRPr="00F004A2" w:rsidRDefault="00F004A2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F004A2">
        <w:rPr>
          <w:rFonts w:ascii="Segoe UI" w:eastAsia="Times New Roman" w:hAnsi="Segoe UI" w:cs="Segoe UI"/>
          <w:bCs/>
          <w:iCs/>
          <w:szCs w:val="20"/>
          <w:lang w:eastAsia="pl-PL"/>
        </w:rPr>
        <w:t>w</w:t>
      </w:r>
      <w:r w:rsidR="004D2D3F" w:rsidRPr="00F004A2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andalizm rozumiany jest jako zniszczenie lub uszkodzenie ubezpieczonego mienia przez osoby trzecie, nie koniecznie w związku </w:t>
      </w:r>
      <w:r w:rsidR="00720A47">
        <w:rPr>
          <w:rFonts w:ascii="Segoe UI" w:eastAsia="Times New Roman" w:hAnsi="Segoe UI" w:cs="Segoe UI"/>
          <w:bCs/>
          <w:iCs/>
          <w:szCs w:val="20"/>
          <w:lang w:eastAsia="pl-PL"/>
        </w:rPr>
        <w:t>z</w:t>
      </w:r>
      <w:r w:rsidR="00081404">
        <w:rPr>
          <w:rFonts w:ascii="Segoe UI" w:eastAsia="Times New Roman" w:hAnsi="Segoe UI" w:cs="Segoe UI"/>
          <w:bCs/>
          <w:iCs/>
          <w:szCs w:val="20"/>
          <w:lang w:eastAsia="pl-PL"/>
        </w:rPr>
        <w:t> </w:t>
      </w:r>
      <w:r w:rsidR="004D2D3F" w:rsidRPr="00F004A2">
        <w:rPr>
          <w:rFonts w:ascii="Segoe UI" w:eastAsia="Times New Roman" w:hAnsi="Segoe UI" w:cs="Segoe UI"/>
          <w:bCs/>
          <w:iCs/>
          <w:szCs w:val="20"/>
          <w:lang w:eastAsia="pl-PL"/>
        </w:rPr>
        <w:t>dokonaniem lub usiłowaniem kradzieży. Odpowiedzialność Wykonawcy obejmuje także ryzyko graffiti, rozumiane jako szkody estetyczne polegające w szczególności na pomalowaniu, porysowaniu powierzchni, umieszczeniu napisów i innych znaków graficznych na ubezpieczonym mieniu</w:t>
      </w:r>
      <w:r>
        <w:rPr>
          <w:rFonts w:ascii="Segoe UI" w:eastAsia="Times New Roman" w:hAnsi="Segoe UI" w:cs="Segoe UI"/>
          <w:bCs/>
          <w:iCs/>
          <w:szCs w:val="20"/>
          <w:lang w:eastAsia="pl-PL"/>
        </w:rPr>
        <w:t>,</w:t>
      </w:r>
    </w:p>
    <w:p w14:paraId="270C5953" w14:textId="20134351" w:rsidR="004D2D3F" w:rsidRPr="00F004A2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F004A2">
        <w:rPr>
          <w:rFonts w:ascii="Segoe UI" w:eastAsia="Times New Roman" w:hAnsi="Segoe UI" w:cs="Segoe UI"/>
          <w:bCs/>
          <w:iCs/>
          <w:szCs w:val="20"/>
          <w:lang w:eastAsia="pl-PL"/>
        </w:rPr>
        <w:t>stłuczenie (rozbicie), pęknięcie ubezpieczonych przedmiotów,</w:t>
      </w:r>
    </w:p>
    <w:p w14:paraId="1FCB9CF8" w14:textId="77777777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szkody spowodowane przez niedostarczenie mediów bądź dostarczeniem mediów o niewłaściwych parametrach, </w:t>
      </w:r>
    </w:p>
    <w:p w14:paraId="6151AB6F" w14:textId="7F0A9384" w:rsidR="004D2D3F" w:rsidRPr="004D2D3F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szkody powstałe w ubezpieczonym mieniu w związku z poddawaniem go w procesie technologicznym działaniu ognia lub ciepła technologicznego, albo w związku z wytwarzaniem lub przekazywaniem przez nie w procesie technologicznym ognia lub ciepła technologicznego, </w:t>
      </w:r>
    </w:p>
    <w:p w14:paraId="23AB5117" w14:textId="671B9AF2" w:rsidR="004D2D3F" w:rsidRPr="00EE208D" w:rsidRDefault="004D2D3F" w:rsidP="008C453E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iCs/>
          <w:szCs w:val="20"/>
          <w:lang w:eastAsia="pl-PL"/>
        </w:rPr>
        <w:t>maszyny, urządzenia, aparatura od uszkodzeń i awarii (szkody mechaniczne oraz szkody elektryczne),</w:t>
      </w:r>
    </w:p>
    <w:p w14:paraId="2914221D" w14:textId="5D673AA2" w:rsidR="00EE208D" w:rsidRDefault="00893F2D" w:rsidP="005A14C7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bCs/>
          <w:iCs/>
          <w:szCs w:val="20"/>
          <w:lang w:eastAsia="pl-PL"/>
        </w:rPr>
      </w:pPr>
      <w:r w:rsidRPr="00893F2D">
        <w:rPr>
          <w:rFonts w:ascii="Segoe UI" w:eastAsia="Times New Roman" w:hAnsi="Segoe UI" w:cs="Segoe UI"/>
          <w:bCs/>
          <w:iCs/>
          <w:szCs w:val="20"/>
          <w:lang w:eastAsia="pl-PL"/>
        </w:rPr>
        <w:t>błędy w obsłudze maszyn powodujące kolizje z innymi</w:t>
      </w:r>
      <w:r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</w:t>
      </w:r>
      <w:r w:rsidRPr="00893F2D">
        <w:rPr>
          <w:rFonts w:ascii="Segoe UI" w:eastAsia="Times New Roman" w:hAnsi="Segoe UI" w:cs="Segoe UI"/>
          <w:bCs/>
          <w:iCs/>
          <w:szCs w:val="20"/>
          <w:lang w:eastAsia="pl-PL"/>
        </w:rPr>
        <w:t>maszynami na placu budowy, wpadnięcie do wykopu lub</w:t>
      </w:r>
      <w:r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</w:t>
      </w:r>
      <w:r w:rsidRPr="00893F2D">
        <w:rPr>
          <w:rFonts w:ascii="Segoe UI" w:eastAsia="Times New Roman" w:hAnsi="Segoe UI" w:cs="Segoe UI"/>
          <w:bCs/>
          <w:iCs/>
          <w:szCs w:val="20"/>
          <w:lang w:eastAsia="pl-PL"/>
        </w:rPr>
        <w:t>przewrócenie się maszyny</w:t>
      </w:r>
      <w:r w:rsidR="00FB6D4B">
        <w:rPr>
          <w:rFonts w:ascii="Segoe UI" w:eastAsia="Times New Roman" w:hAnsi="Segoe UI" w:cs="Segoe UI"/>
          <w:bCs/>
          <w:iCs/>
          <w:szCs w:val="20"/>
          <w:lang w:eastAsia="pl-PL"/>
        </w:rPr>
        <w:t>,</w:t>
      </w:r>
    </w:p>
    <w:p w14:paraId="2B0524A4" w14:textId="3B202F26" w:rsidR="00FB6D4B" w:rsidRDefault="00947727" w:rsidP="005A14C7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bCs/>
          <w:iCs/>
          <w:szCs w:val="20"/>
          <w:lang w:eastAsia="pl-PL"/>
        </w:rPr>
      </w:pPr>
      <w:r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działania człowieka </w:t>
      </w:r>
      <w:r w:rsidR="00CE47AA">
        <w:rPr>
          <w:rFonts w:ascii="Segoe UI" w:eastAsia="Times New Roman" w:hAnsi="Segoe UI" w:cs="Segoe UI"/>
          <w:bCs/>
          <w:iCs/>
          <w:szCs w:val="20"/>
          <w:lang w:eastAsia="pl-PL"/>
        </w:rPr>
        <w:t>(w szczególności: upadek sprzętu elektronicznego, nieostrożność,</w:t>
      </w:r>
      <w:r w:rsidR="005D7A20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zaniedbanie, niewłaściwe użytkowanie, brak kwalifikacji,</w:t>
      </w:r>
      <w:r w:rsidR="00962649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błąd operatora)</w:t>
      </w:r>
      <w:r w:rsidR="00134C30">
        <w:rPr>
          <w:rFonts w:ascii="Segoe UI" w:eastAsia="Times New Roman" w:hAnsi="Segoe UI" w:cs="Segoe UI"/>
          <w:bCs/>
          <w:iCs/>
          <w:szCs w:val="20"/>
          <w:lang w:eastAsia="pl-PL"/>
        </w:rPr>
        <w:t>,</w:t>
      </w:r>
    </w:p>
    <w:p w14:paraId="78329161" w14:textId="7FBFC8E4" w:rsidR="00962649" w:rsidRDefault="00962649" w:rsidP="005A14C7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bCs/>
          <w:iCs/>
          <w:szCs w:val="20"/>
          <w:lang w:eastAsia="pl-PL"/>
        </w:rPr>
      </w:pPr>
      <w:r>
        <w:rPr>
          <w:rFonts w:ascii="Segoe UI" w:eastAsia="Times New Roman" w:hAnsi="Segoe UI" w:cs="Segoe UI"/>
          <w:bCs/>
          <w:iCs/>
          <w:szCs w:val="20"/>
          <w:lang w:eastAsia="pl-PL"/>
        </w:rPr>
        <w:t>błędy konstrukcyjne</w:t>
      </w:r>
      <w:r w:rsidR="00134C30">
        <w:rPr>
          <w:rFonts w:ascii="Segoe UI" w:eastAsia="Times New Roman" w:hAnsi="Segoe UI" w:cs="Segoe UI"/>
          <w:bCs/>
          <w:iCs/>
          <w:szCs w:val="20"/>
          <w:lang w:eastAsia="pl-PL"/>
        </w:rPr>
        <w:t>,</w:t>
      </w:r>
    </w:p>
    <w:p w14:paraId="2B179207" w14:textId="6219F7A7" w:rsidR="00924BA8" w:rsidRPr="00893F2D" w:rsidRDefault="00924BA8" w:rsidP="005B0F7C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985" w:right="566" w:hanging="425"/>
        <w:jc w:val="both"/>
        <w:rPr>
          <w:rFonts w:ascii="Segoe UI" w:eastAsia="Times New Roman" w:hAnsi="Segoe UI" w:cs="Segoe UI"/>
          <w:bCs/>
          <w:iCs/>
          <w:szCs w:val="20"/>
          <w:lang w:eastAsia="pl-PL"/>
        </w:rPr>
      </w:pPr>
      <w:r>
        <w:rPr>
          <w:rFonts w:ascii="Segoe UI" w:eastAsia="Times New Roman" w:hAnsi="Segoe UI" w:cs="Segoe UI"/>
          <w:bCs/>
          <w:iCs/>
          <w:szCs w:val="20"/>
          <w:lang w:eastAsia="pl-PL"/>
        </w:rPr>
        <w:t>przepięcia</w:t>
      </w:r>
      <w:r w:rsidR="002C33A5">
        <w:rPr>
          <w:rFonts w:ascii="Segoe UI" w:eastAsia="Times New Roman" w:hAnsi="Segoe UI" w:cs="Segoe UI"/>
          <w:bCs/>
          <w:iCs/>
          <w:szCs w:val="20"/>
          <w:lang w:eastAsia="pl-PL"/>
        </w:rPr>
        <w:t>, indukcja.</w:t>
      </w:r>
    </w:p>
    <w:p w14:paraId="3EA9AAF5" w14:textId="066A43D3" w:rsidR="004D2D3F" w:rsidRPr="004D2D3F" w:rsidRDefault="004D2D3F" w:rsidP="008C453E">
      <w:pPr>
        <w:widowControl w:val="0"/>
        <w:numPr>
          <w:ilvl w:val="0"/>
          <w:numId w:val="2"/>
        </w:numPr>
        <w:autoSpaceDE w:val="0"/>
        <w:autoSpaceDN w:val="0"/>
        <w:spacing w:before="40" w:after="0" w:line="276" w:lineRule="auto"/>
        <w:ind w:right="566" w:hanging="295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Ubezpieczone mienie objęte jest także ochroną od szkód powstałych wskutek akcji gaśniczej, ratowniczej, wyburzenia lub odgruzowania, prowadzonych w</w:t>
      </w:r>
      <w:r w:rsidR="00F004A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związku z wystąpieniem zdarzeń objętych zakresem ubezpieczenia. Wykonawca zwraca Zamawiającemu, w granicach sumy ubezpieczenia, udokumentowane koszty wynikłe z zastosowania wszelkich dostępnych środków w celu zmniejszenia rozmiaru szkody objętej zakresem ubezpieczenia, do zabezpieczenia przedmiotu ubezpieczenia bezpośrednio zagrożonego lub dotkniętego szkodą, jeśli środki te były celowe, chociażby okazały się bezskuteczne.</w:t>
      </w:r>
    </w:p>
    <w:p w14:paraId="4D6D553E" w14:textId="0D736E5E" w:rsidR="00F004A2" w:rsidRPr="00906938" w:rsidRDefault="004D2D3F" w:rsidP="00F004A2">
      <w:pPr>
        <w:widowControl w:val="0"/>
        <w:numPr>
          <w:ilvl w:val="0"/>
          <w:numId w:val="2"/>
        </w:numPr>
        <w:autoSpaceDE w:val="0"/>
        <w:autoSpaceDN w:val="0"/>
        <w:spacing w:before="40" w:after="0" w:line="276" w:lineRule="auto"/>
        <w:ind w:right="566" w:hanging="295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Ubezpieczone mienie jest objęte ochroną do pełnej wartości także w trakcie prowadzenia prac budowlano montażowych z włączeniem prac naruszających konstrukcję budynku jak </w:t>
      </w:r>
      <w:r w:rsidR="00F004A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i wymagających pozwolenia na budowę.</w:t>
      </w:r>
    </w:p>
    <w:p w14:paraId="20083F85" w14:textId="77777777" w:rsidR="004D2D3F" w:rsidRPr="004D2D3F" w:rsidRDefault="004D2D3F" w:rsidP="008C453E">
      <w:pPr>
        <w:pStyle w:val="Nagwek3"/>
        <w:numPr>
          <w:ilvl w:val="0"/>
          <w:numId w:val="13"/>
        </w:numPr>
      </w:pPr>
      <w:bookmarkStart w:id="4" w:name="_Hlk36394891"/>
      <w:r w:rsidRPr="004D2D3F">
        <w:t xml:space="preserve">SUMY i SYSTEM UBEZPIECZENIA </w:t>
      </w:r>
    </w:p>
    <w:p w14:paraId="77798610" w14:textId="50F309DA" w:rsidR="004D2D3F" w:rsidRPr="004D2D3F" w:rsidRDefault="004D2D3F" w:rsidP="0092542F">
      <w:pPr>
        <w:widowControl w:val="0"/>
        <w:autoSpaceDE w:val="0"/>
        <w:autoSpaceDN w:val="0"/>
        <w:spacing w:before="240" w:after="0" w:line="276" w:lineRule="auto"/>
        <w:ind w:right="566" w:firstLine="142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Zgodnie z: Załącznikiem 1</w:t>
      </w:r>
      <w:r w:rsidR="00142B9B">
        <w:rPr>
          <w:rFonts w:ascii="Segoe UI" w:eastAsia="Times New Roman" w:hAnsi="Segoe UI" w:cs="Segoe UI"/>
          <w:szCs w:val="20"/>
          <w:lang w:eastAsia="pl-PL"/>
        </w:rPr>
        <w:t xml:space="preserve"> I do OPZ 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Zestawienie sum ubezpieczenia</w:t>
      </w:r>
      <w:r w:rsidR="00F004A2">
        <w:rPr>
          <w:rFonts w:ascii="Segoe UI" w:eastAsia="Times New Roman" w:hAnsi="Segoe UI" w:cs="Segoe UI"/>
          <w:szCs w:val="20"/>
          <w:lang w:eastAsia="pl-PL"/>
        </w:rPr>
        <w:t>.</w:t>
      </w:r>
    </w:p>
    <w:p w14:paraId="0C190F39" w14:textId="16C2E9DA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MIEJSCE UBEZPIECZENIA</w:t>
      </w:r>
      <w:r w:rsidR="0092542F">
        <w:br/>
      </w:r>
    </w:p>
    <w:p w14:paraId="474F1CB3" w14:textId="411D1DEC" w:rsidR="00411F19" w:rsidRDefault="004D2D3F" w:rsidP="0061206F">
      <w:pPr>
        <w:pStyle w:val="Akapitzlist"/>
        <w:numPr>
          <w:ilvl w:val="0"/>
          <w:numId w:val="4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Wszystkie istniejące lokalizacje Zamawiającego na terenie RP</w:t>
      </w:r>
      <w:r w:rsidR="00A4514D">
        <w:rPr>
          <w:rFonts w:ascii="Segoe UI" w:eastAsia="Times New Roman" w:hAnsi="Segoe UI" w:cs="Segoe UI"/>
          <w:iCs/>
          <w:szCs w:val="20"/>
          <w:lang w:eastAsia="pl-PL"/>
        </w:rPr>
        <w:t xml:space="preserve"> wskazane </w:t>
      </w:r>
      <w:r w:rsidR="00565E75">
        <w:rPr>
          <w:rFonts w:ascii="Segoe UI" w:eastAsia="Times New Roman" w:hAnsi="Segoe UI" w:cs="Segoe UI"/>
          <w:iCs/>
          <w:szCs w:val="20"/>
          <w:lang w:eastAsia="pl-PL"/>
        </w:rPr>
        <w:t>w</w:t>
      </w:r>
      <w:r w:rsidR="003B62BF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="00565E75">
        <w:rPr>
          <w:rFonts w:ascii="Segoe UI" w:eastAsia="Times New Roman" w:hAnsi="Segoe UI" w:cs="Segoe UI"/>
          <w:iCs/>
          <w:szCs w:val="20"/>
          <w:lang w:eastAsia="pl-PL"/>
        </w:rPr>
        <w:t xml:space="preserve">Załączniku </w:t>
      </w:r>
      <w:r w:rsidR="00E67131">
        <w:rPr>
          <w:rFonts w:ascii="Segoe UI" w:eastAsia="Times New Roman" w:hAnsi="Segoe UI" w:cs="Segoe UI"/>
          <w:iCs/>
          <w:szCs w:val="20"/>
          <w:lang w:eastAsia="pl-PL"/>
        </w:rPr>
        <w:t>1</w:t>
      </w:r>
      <w:r w:rsidR="00351ABA">
        <w:rPr>
          <w:rFonts w:ascii="Segoe UI" w:eastAsia="Times New Roman" w:hAnsi="Segoe UI" w:cs="Segoe UI"/>
          <w:iCs/>
          <w:szCs w:val="20"/>
          <w:lang w:eastAsia="pl-PL"/>
        </w:rPr>
        <w:t xml:space="preserve"> I do OPZ</w:t>
      </w:r>
      <w:r w:rsidR="009B5D0B">
        <w:rPr>
          <w:rFonts w:ascii="Segoe UI" w:eastAsia="Times New Roman" w:hAnsi="Segoe UI" w:cs="Segoe UI"/>
          <w:iCs/>
          <w:szCs w:val="20"/>
          <w:lang w:eastAsia="pl-PL"/>
        </w:rPr>
        <w:t xml:space="preserve">. </w:t>
      </w:r>
      <w:r w:rsidR="00AD03B2" w:rsidRPr="000609C2">
        <w:rPr>
          <w:rFonts w:ascii="Segoe UI" w:eastAsia="Times New Roman" w:hAnsi="Segoe UI" w:cs="Segoe UI"/>
          <w:iCs/>
          <w:szCs w:val="20"/>
          <w:lang w:eastAsia="pl-PL"/>
        </w:rPr>
        <w:t>Wykaz Lokalizacji</w:t>
      </w:r>
      <w:r w:rsidRPr="000609C2">
        <w:rPr>
          <w:rFonts w:ascii="Segoe UI" w:eastAsia="Times New Roman" w:hAnsi="Segoe UI" w:cs="Segoe UI"/>
          <w:iCs/>
          <w:szCs w:val="20"/>
          <w:lang w:eastAsia="pl-PL"/>
        </w:rPr>
        <w:t xml:space="preserve"> oraz wszystkie lokalizacje,</w:t>
      </w:r>
      <w:r w:rsidR="005A7BDE" w:rsidRPr="000609C2">
        <w:rPr>
          <w:iCs/>
        </w:rPr>
        <w:t xml:space="preserve"> </w:t>
      </w:r>
      <w:r w:rsidR="005A7BDE" w:rsidRPr="000609C2">
        <w:rPr>
          <w:rFonts w:ascii="Segoe UI" w:eastAsia="Times New Roman" w:hAnsi="Segoe UI" w:cs="Segoe UI"/>
          <w:iCs/>
          <w:szCs w:val="20"/>
          <w:lang w:eastAsia="pl-PL"/>
        </w:rPr>
        <w:t xml:space="preserve">z zamiarem </w:t>
      </w:r>
      <w:r w:rsidR="005A7BDE" w:rsidRPr="000609C2">
        <w:rPr>
          <w:rFonts w:ascii="Segoe UI" w:eastAsia="Times New Roman" w:hAnsi="Segoe UI" w:cs="Segoe UI"/>
          <w:iCs/>
          <w:szCs w:val="20"/>
          <w:lang w:eastAsia="pl-PL"/>
        </w:rPr>
        <w:lastRenderedPageBreak/>
        <w:t>prowadzenia w nich działalności w trybie stałym, uruchomione, uruchamiane w</w:t>
      </w:r>
      <w:r w:rsidR="000609C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="005A7BDE" w:rsidRPr="000609C2">
        <w:rPr>
          <w:rFonts w:ascii="Segoe UI" w:eastAsia="Times New Roman" w:hAnsi="Segoe UI" w:cs="Segoe UI"/>
          <w:iCs/>
          <w:szCs w:val="20"/>
          <w:lang w:eastAsia="pl-PL"/>
        </w:rPr>
        <w:t xml:space="preserve">okresie ubezpieczenia zgodnie z klauzulą automatycznego pokrycia nowych lokalizacji. </w:t>
      </w:r>
      <w:r w:rsidR="00D33CE5">
        <w:rPr>
          <w:rFonts w:ascii="Segoe UI" w:eastAsia="Times New Roman" w:hAnsi="Segoe UI" w:cs="Segoe UI"/>
          <w:iCs/>
          <w:szCs w:val="20"/>
          <w:lang w:eastAsia="pl-PL"/>
        </w:rPr>
        <w:t xml:space="preserve"> </w:t>
      </w:r>
      <w:r w:rsidR="0074783D" w:rsidRPr="00FA2820">
        <w:rPr>
          <w:rFonts w:ascii="Segoe UI" w:eastAsia="Times New Roman" w:hAnsi="Segoe UI" w:cs="Segoe UI"/>
          <w:iCs/>
          <w:szCs w:val="20"/>
          <w:lang w:eastAsia="pl-PL"/>
        </w:rPr>
        <w:t>Ponadto</w:t>
      </w:r>
      <w:r w:rsidRPr="00FA2820">
        <w:rPr>
          <w:rFonts w:ascii="Segoe UI" w:eastAsia="Times New Roman" w:hAnsi="Segoe UI" w:cs="Segoe UI"/>
          <w:iCs/>
          <w:szCs w:val="20"/>
          <w:lang w:eastAsia="pl-PL"/>
        </w:rPr>
        <w:t xml:space="preserve"> lokalizacje, w których pracownicy użytkują majątek Zamawiającego do celów służbowych</w:t>
      </w:r>
      <w:r w:rsidR="00D33CE5" w:rsidRPr="00FA2820">
        <w:rPr>
          <w:rFonts w:ascii="Segoe UI" w:eastAsia="Times New Roman" w:hAnsi="Segoe UI" w:cs="Segoe UI"/>
          <w:iCs/>
          <w:szCs w:val="20"/>
          <w:lang w:eastAsia="pl-PL"/>
        </w:rPr>
        <w:t>.</w:t>
      </w:r>
    </w:p>
    <w:p w14:paraId="6E008497" w14:textId="2D77ABCC" w:rsidR="0061206F" w:rsidRPr="00FA2820" w:rsidRDefault="00581467" w:rsidP="00FA2820">
      <w:pPr>
        <w:pStyle w:val="Akapitzlist"/>
        <w:numPr>
          <w:ilvl w:val="0"/>
          <w:numId w:val="4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>
        <w:rPr>
          <w:rFonts w:ascii="Segoe UI" w:eastAsia="Times New Roman" w:hAnsi="Segoe UI" w:cs="Segoe UI"/>
          <w:iCs/>
          <w:szCs w:val="20"/>
          <w:lang w:eastAsia="pl-PL"/>
        </w:rPr>
        <w:t>Przenośny sprzęt elektroniczny</w:t>
      </w:r>
      <w:r w:rsidR="00A51779">
        <w:rPr>
          <w:rFonts w:ascii="Segoe UI" w:eastAsia="Times New Roman" w:hAnsi="Segoe UI" w:cs="Segoe UI"/>
          <w:iCs/>
          <w:szCs w:val="20"/>
          <w:lang w:eastAsia="pl-PL"/>
        </w:rPr>
        <w:t xml:space="preserve"> (w tym telefony komórkowe)</w:t>
      </w:r>
      <w:r w:rsidR="00E67131">
        <w:rPr>
          <w:rFonts w:ascii="Segoe UI" w:eastAsia="Times New Roman" w:hAnsi="Segoe UI" w:cs="Segoe UI"/>
          <w:iCs/>
          <w:szCs w:val="20"/>
          <w:lang w:eastAsia="pl-PL"/>
        </w:rPr>
        <w:t xml:space="preserve"> oraz maszyny budowl</w:t>
      </w:r>
      <w:r w:rsidR="002311C6">
        <w:rPr>
          <w:rFonts w:ascii="Segoe UI" w:eastAsia="Times New Roman" w:hAnsi="Segoe UI" w:cs="Segoe UI"/>
          <w:iCs/>
          <w:szCs w:val="20"/>
          <w:lang w:eastAsia="pl-PL"/>
        </w:rPr>
        <w:t>ane są</w:t>
      </w:r>
      <w:r w:rsidR="001D27D2">
        <w:rPr>
          <w:rFonts w:ascii="Segoe UI" w:eastAsia="Times New Roman" w:hAnsi="Segoe UI" w:cs="Segoe UI"/>
          <w:iCs/>
          <w:szCs w:val="20"/>
          <w:lang w:eastAsia="pl-PL"/>
        </w:rPr>
        <w:t xml:space="preserve"> objęt</w:t>
      </w:r>
      <w:r w:rsidR="002311C6">
        <w:rPr>
          <w:rFonts w:ascii="Segoe UI" w:eastAsia="Times New Roman" w:hAnsi="Segoe UI" w:cs="Segoe UI"/>
          <w:iCs/>
          <w:szCs w:val="20"/>
          <w:lang w:eastAsia="pl-PL"/>
        </w:rPr>
        <w:t>e</w:t>
      </w:r>
      <w:r w:rsidR="001D27D2">
        <w:rPr>
          <w:rFonts w:ascii="Segoe UI" w:eastAsia="Times New Roman" w:hAnsi="Segoe UI" w:cs="Segoe UI"/>
          <w:iCs/>
          <w:szCs w:val="20"/>
          <w:lang w:eastAsia="pl-PL"/>
        </w:rPr>
        <w:t xml:space="preserve"> ochroną ubezpieczeniową na terenie RP</w:t>
      </w:r>
      <w:r w:rsidR="002311C6">
        <w:rPr>
          <w:rFonts w:ascii="Segoe UI" w:eastAsia="Times New Roman" w:hAnsi="Segoe UI" w:cs="Segoe UI"/>
          <w:iCs/>
          <w:szCs w:val="20"/>
          <w:lang w:eastAsia="pl-PL"/>
        </w:rPr>
        <w:t>.</w:t>
      </w:r>
    </w:p>
    <w:p w14:paraId="74CC1C97" w14:textId="0F72E189" w:rsidR="004D2D3F" w:rsidRPr="00FA2820" w:rsidRDefault="004D2D3F" w:rsidP="00FA2820">
      <w:pPr>
        <w:pStyle w:val="Akapitzlist"/>
        <w:numPr>
          <w:ilvl w:val="0"/>
          <w:numId w:val="4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FA2820">
        <w:rPr>
          <w:rFonts w:ascii="Segoe UI" w:eastAsia="Times New Roman" w:hAnsi="Segoe UI" w:cs="Segoe UI"/>
          <w:iCs/>
          <w:szCs w:val="20"/>
          <w:lang w:eastAsia="pl-PL"/>
        </w:rPr>
        <w:t>Ochroną objęte jest także mienie na wolnym powietrzu, które z uwagi na swoją specyfikę lub okoliczności, znajduje się poza budynkami, lokalami zamkniętym (np. kamery zewnętrzne, zewnętrzne części instalacji, szlabany, barierki, oświetlenie</w:t>
      </w:r>
      <w:r w:rsidR="00B55743" w:rsidRPr="00FA2820">
        <w:rPr>
          <w:rFonts w:ascii="Segoe UI" w:eastAsia="Times New Roman" w:hAnsi="Segoe UI" w:cs="Segoe UI"/>
          <w:iCs/>
          <w:szCs w:val="20"/>
          <w:lang w:eastAsia="pl-PL"/>
        </w:rPr>
        <w:t>)</w:t>
      </w:r>
      <w:r w:rsidRPr="00FA2820">
        <w:rPr>
          <w:rFonts w:ascii="Segoe UI" w:eastAsia="Times New Roman" w:hAnsi="Segoe UI" w:cs="Segoe UI"/>
          <w:iCs/>
          <w:szCs w:val="20"/>
          <w:lang w:eastAsia="pl-PL"/>
        </w:rPr>
        <w:t xml:space="preserve"> – dla tego mienia nie mają zastosowania wymogi dotyczące zabezpieczeń oraz konstrukcji lokali.</w:t>
      </w:r>
    </w:p>
    <w:p w14:paraId="5571BA8D" w14:textId="5BDD3A59" w:rsidR="004D2D3F" w:rsidRPr="00812B52" w:rsidRDefault="004D2D3F" w:rsidP="00812B52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812B52">
        <w:rPr>
          <w:rFonts w:ascii="Segoe UI" w:eastAsia="Times New Roman" w:hAnsi="Segoe UI" w:cs="Segoe UI"/>
          <w:iCs/>
          <w:szCs w:val="20"/>
          <w:lang w:eastAsia="pl-PL"/>
        </w:rPr>
        <w:t>Ochroną ubezpieczeniową objęty jest także sprzęt wysyłany do</w:t>
      </w:r>
      <w:r w:rsidR="00B33037" w:rsidRPr="00812B5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812B52">
        <w:rPr>
          <w:rFonts w:ascii="Segoe UI" w:eastAsia="Times New Roman" w:hAnsi="Segoe UI" w:cs="Segoe UI"/>
          <w:iCs/>
          <w:szCs w:val="20"/>
          <w:lang w:eastAsia="pl-PL"/>
        </w:rPr>
        <w:t>serwisu/naprawy, z zachowaniem prawa do regresu.</w:t>
      </w:r>
    </w:p>
    <w:p w14:paraId="7CEDC8A0" w14:textId="3450BB81" w:rsidR="004D2D3F" w:rsidRPr="004D2D3F" w:rsidRDefault="004D2D3F" w:rsidP="004A126B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 xml:space="preserve">Zakres ubezpieczenia rozszerza </w:t>
      </w:r>
      <w:r w:rsidRPr="002E5FB4">
        <w:rPr>
          <w:rFonts w:ascii="Segoe UI" w:eastAsia="Times New Roman" w:hAnsi="Segoe UI" w:cs="Segoe UI"/>
          <w:szCs w:val="20"/>
          <w:lang w:eastAsia="pl-PL"/>
        </w:rPr>
        <w:t>się</w:t>
      </w:r>
      <w:r w:rsidR="002E5FB4">
        <w:rPr>
          <w:rFonts w:ascii="Segoe UI" w:eastAsia="Times New Roman" w:hAnsi="Segoe UI" w:cs="Segoe UI"/>
          <w:szCs w:val="20"/>
          <w:lang w:eastAsia="pl-PL"/>
        </w:rPr>
        <w:t xml:space="preserve"> o</w:t>
      </w:r>
      <w:r w:rsidRPr="002E5FB4">
        <w:rPr>
          <w:rFonts w:ascii="Segoe UI" w:eastAsia="Times New Roman" w:hAnsi="Segoe UI" w:cs="Segoe UI"/>
          <w:szCs w:val="20"/>
          <w:lang w:eastAsia="pl-PL"/>
        </w:rPr>
        <w:t xml:space="preserve"> ryzyko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kradzieży zwykłej oraz utratę mienia w niewyjaśnionych okolicznościach, w tym kradzież z pojazdu (w przypadkach innych niż opisanych w </w:t>
      </w:r>
      <w:proofErr w:type="spellStart"/>
      <w:r w:rsidRPr="004D2D3F">
        <w:rPr>
          <w:rFonts w:ascii="Segoe UI" w:eastAsia="Times New Roman" w:hAnsi="Segoe UI" w:cs="Segoe UI"/>
          <w:szCs w:val="20"/>
          <w:lang w:eastAsia="pl-PL"/>
        </w:rPr>
        <w:t>ppkt</w:t>
      </w:r>
      <w:proofErr w:type="spellEnd"/>
      <w:r w:rsidRPr="004D2D3F">
        <w:rPr>
          <w:rFonts w:ascii="Segoe UI" w:eastAsia="Times New Roman" w:hAnsi="Segoe UI" w:cs="Segoe UI"/>
          <w:szCs w:val="20"/>
          <w:lang w:eastAsia="pl-PL"/>
        </w:rPr>
        <w:t xml:space="preserve"> 1 powyżej)</w:t>
      </w:r>
      <w:r w:rsidR="00812B52">
        <w:rPr>
          <w:rFonts w:ascii="Segoe UI" w:eastAsia="Times New Roman" w:hAnsi="Segoe UI" w:cs="Segoe UI"/>
          <w:szCs w:val="20"/>
          <w:lang w:eastAsia="pl-PL"/>
        </w:rPr>
        <w:t xml:space="preserve">. 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Limit odpowiedzialności: zgodny z</w:t>
      </w:r>
      <w:r w:rsidR="0092542F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Tabelą Limitów.</w:t>
      </w:r>
    </w:p>
    <w:p w14:paraId="4936AACB" w14:textId="77777777" w:rsidR="004D2D3F" w:rsidRPr="004D2D3F" w:rsidRDefault="004D2D3F" w:rsidP="004A126B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Odszkodowanie będzie obejmować koszt licencji na oprogramowanie, jeżeli na danym komputerze zainstalowane jest oprogramowanie w systemie OEM (przypisane do konkretnego komputera).</w:t>
      </w:r>
    </w:p>
    <w:p w14:paraId="51431393" w14:textId="590DB15F" w:rsidR="004D2D3F" w:rsidRPr="004D2D3F" w:rsidRDefault="004D2D3F" w:rsidP="004A126B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Nie mają zastosowania ograniczenia wieku ubezpieczanego mienia zarówno w</w:t>
      </w:r>
      <w:r w:rsidR="00812B52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odniesieniu do objęcia ochroną ubezpieczeniową</w:t>
      </w:r>
      <w:r w:rsidR="008F3A70">
        <w:rPr>
          <w:rFonts w:ascii="Segoe UI" w:eastAsia="Times New Roman" w:hAnsi="Segoe UI" w:cs="Segoe UI"/>
          <w:szCs w:val="20"/>
        </w:rPr>
        <w:t>, jak</w:t>
      </w:r>
      <w:r w:rsidRPr="004D2D3F">
        <w:rPr>
          <w:rFonts w:ascii="Segoe UI" w:eastAsia="Times New Roman" w:hAnsi="Segoe UI" w:cs="Segoe UI"/>
          <w:szCs w:val="20"/>
        </w:rPr>
        <w:t xml:space="preserve"> i wypłaty odszkodowania.</w:t>
      </w:r>
    </w:p>
    <w:p w14:paraId="22FB6E28" w14:textId="3EEE2118" w:rsidR="004D2D3F" w:rsidRPr="004D2D3F" w:rsidRDefault="004D2D3F" w:rsidP="008C453E">
      <w:pPr>
        <w:pStyle w:val="Nagwek3"/>
        <w:numPr>
          <w:ilvl w:val="0"/>
          <w:numId w:val="13"/>
        </w:numPr>
      </w:pPr>
      <w:bookmarkStart w:id="5" w:name="_Hlk36395290"/>
      <w:bookmarkEnd w:id="4"/>
      <w:r w:rsidRPr="004D2D3F">
        <w:t>LIKWIDACJA SZKÓD</w:t>
      </w:r>
      <w:r w:rsidR="0092542F">
        <w:br/>
      </w:r>
    </w:p>
    <w:bookmarkEnd w:id="5"/>
    <w:p w14:paraId="22BDB1F9" w14:textId="4629C3ED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 przypadku szkody odszkodowanie będzie ustalane bez względu na stopień amortyzacji lub zużycia technicznego danego przedmiotu ubezpieczenia, w</w:t>
      </w:r>
      <w:r w:rsidR="0092542F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pełnej wysokości, do sumy ubezpieczenia uszkodzonej lub utraconej rzeczy, ustalonej z uwzględnieniem przyjętej dla danego mienia metody oszacowania wartości bez potrącania amortyzacji/zużycia technicznego oraz bez stosowania zasady proporcji. Przy czym odszkodowanie nie będzie wyższe niż faktyczny koszt odtworzenia utraconego mienia z uwzględnieniem kosztów dodatkowych, np. poniesionych na rozbiórkę części budynków niedotkniętych bezpośrednio szkodą z uwagi na obowiązujące przepisy. </w:t>
      </w:r>
    </w:p>
    <w:p w14:paraId="62617532" w14:textId="12576C9B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Odszkodowanie wypłacane jest z uwzględnieniem podatku VAT. Zamawiający przedstawi oświadczenie o braku możliwości odzyskania podatku VAT lub możliwości częściowego odzyskania podatku VAT od wydatków związanych z</w:t>
      </w:r>
      <w:r w:rsidR="0092542F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likwidacją danej szkody.</w:t>
      </w:r>
    </w:p>
    <w:p w14:paraId="4FD9F3E7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Jeżeli do wypłaty odszkodowania wymagane będą przez Wykonawcę faktury, to Zamawiający nie będzie miał obowiązku przekazywania Wykonawcy oryginałów faktur, a jedynie uwierzytelnione kserokopie faktur.</w:t>
      </w:r>
    </w:p>
    <w:p w14:paraId="776EBE9B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 ramach ogólnej sumy ubezpieczenia Wykonawca ponosi odpowiedzialność za szkody wynikłe wskutek przeprowadzania akcji ratowniczych.</w:t>
      </w:r>
    </w:p>
    <w:p w14:paraId="6E932A68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Przy szkodzie całkowitej Zamawiający może odtwarzać mienie bez obowiązku zachowania dotychczasowych wymiarów, konstrukcji, rodzaju zastosowanych materiałów, jeżeli zachowanie dotychczasowych rozwiązań jest technicznie, 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lastRenderedPageBreak/>
        <w:t xml:space="preserve">prawnie lub ekonomicznie nieuzasadnione. </w:t>
      </w:r>
    </w:p>
    <w:p w14:paraId="1ECEB96A" w14:textId="1B9F0300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 przypadku nie odtwarzania/naprawy mienia (szkoda częściowa lub całkowita) wypłata odszkodowania nastąpi na podstawie protokołu szkody i</w:t>
      </w:r>
      <w:r w:rsidR="0092542F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kosztorysu do wysokości sumy ubezpieczenia (wg wartości zgłoszonej do ubezpieczenia) danego mienia, bez potrącania stopnia zużycia mienia. </w:t>
      </w:r>
    </w:p>
    <w:p w14:paraId="7BABE50E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bookmarkStart w:id="6" w:name="_Hlk36506304"/>
      <w:r w:rsidRPr="004D2D3F">
        <w:rPr>
          <w:rFonts w:ascii="Segoe UI" w:eastAsia="Times New Roman" w:hAnsi="Segoe UI" w:cs="Segoe UI"/>
          <w:iCs/>
          <w:szCs w:val="20"/>
          <w:lang w:eastAsia="pl-PL"/>
        </w:rPr>
        <w:t>Wykonawca zobowiązuje się podjąć czynności likwidacyjne w ciągu 3 dni roboczych od momentu zgłoszenia szkody</w:t>
      </w:r>
      <w:bookmarkEnd w:id="6"/>
      <w:r w:rsidRPr="004D2D3F">
        <w:rPr>
          <w:rFonts w:ascii="Segoe UI" w:eastAsia="Times New Roman" w:hAnsi="Segoe UI" w:cs="Segoe UI"/>
          <w:iCs/>
          <w:szCs w:val="20"/>
          <w:lang w:eastAsia="pl-PL"/>
        </w:rPr>
        <w:t>. W przypadku przekroczenia terminu, Zamawiającego nie będą obowiązywały zapisy OWU zobowiązujące do pozostawienia miejsca szkody bez zmian.</w:t>
      </w:r>
    </w:p>
    <w:p w14:paraId="0C7F4A38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Zniesiona zostaje konsumpcja sumy ubezpieczenia dla mienia Zamawiającego w systemie sum stałych.</w:t>
      </w:r>
    </w:p>
    <w:p w14:paraId="0A4EEAD6" w14:textId="059DC7D6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Zamawiający bezzwłocznie powiadomi Wykonawcę o szkodzie za pośrednictwem brokera ubezpieczeniowego, nie później jednak niż w ciągu 14 dni roboczych od daty wystąpienia szkody, chyba że wskutek okoliczności od</w:t>
      </w:r>
      <w:r w:rsidR="00AE40C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siebie niezależnych nie mógł tego uczynić – w takiej sytuacji powinien to</w:t>
      </w:r>
      <w:r w:rsidR="00AE40C2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uczynić w terminie 14 dni roboczych od ustąpienia przyczyny uniemożliwiającej powiadomienie.</w:t>
      </w:r>
    </w:p>
    <w:p w14:paraId="1093D8D4" w14:textId="77777777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  <w:lang w:eastAsia="ar-SA"/>
        </w:rPr>
      </w:pPr>
      <w:r w:rsidRPr="004D2D3F">
        <w:rPr>
          <w:rFonts w:ascii="Segoe UI" w:eastAsia="Times New Roman" w:hAnsi="Segoe UI" w:cs="Segoe UI"/>
          <w:szCs w:val="20"/>
        </w:rPr>
        <w:t>O</w:t>
      </w:r>
      <w:r w:rsidRPr="004D2D3F">
        <w:rPr>
          <w:rFonts w:ascii="Segoe UI" w:eastAsia="Times New Roman" w:hAnsi="Segoe UI" w:cs="Segoe UI"/>
          <w:bCs/>
          <w:szCs w:val="20"/>
        </w:rPr>
        <w:t>bowiązek</w:t>
      </w:r>
      <w:r w:rsidRPr="004D2D3F">
        <w:rPr>
          <w:rFonts w:ascii="Segoe UI" w:eastAsia="Times New Roman" w:hAnsi="Segoe UI" w:cs="Segoe UI"/>
          <w:bCs/>
          <w:szCs w:val="20"/>
          <w:lang w:eastAsia="ar-SA"/>
        </w:rPr>
        <w:t xml:space="preserve"> zgłoszenia zdarzeń szkodowych na policję nie dotyczy:</w:t>
      </w:r>
    </w:p>
    <w:p w14:paraId="12F202A1" w14:textId="77777777" w:rsidR="004D2D3F" w:rsidRPr="004D2D3F" w:rsidRDefault="004D2D3F" w:rsidP="008C453E">
      <w:pPr>
        <w:widowControl w:val="0"/>
        <w:numPr>
          <w:ilvl w:val="0"/>
          <w:numId w:val="12"/>
        </w:numPr>
        <w:tabs>
          <w:tab w:val="left" w:pos="502"/>
        </w:tabs>
        <w:suppressAutoHyphens/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bCs/>
          <w:szCs w:val="20"/>
          <w:lang w:eastAsia="ar-SA"/>
        </w:rPr>
      </w:pPr>
      <w:r w:rsidRPr="004D2D3F">
        <w:rPr>
          <w:rFonts w:ascii="Segoe UI" w:eastAsia="Times New Roman" w:hAnsi="Segoe UI" w:cs="Segoe UI"/>
          <w:bCs/>
          <w:szCs w:val="20"/>
          <w:lang w:eastAsia="ar-SA"/>
        </w:rPr>
        <w:t>szkód polegających na stłuczeniu/ uszkodzeniu szyb i innych przedmiotów szklanych;</w:t>
      </w:r>
    </w:p>
    <w:p w14:paraId="76E97F57" w14:textId="34699F6C" w:rsidR="004D2D3F" w:rsidRPr="0092542F" w:rsidRDefault="004D2D3F" w:rsidP="00BC6DFC">
      <w:pPr>
        <w:widowControl w:val="0"/>
        <w:numPr>
          <w:ilvl w:val="0"/>
          <w:numId w:val="12"/>
        </w:numPr>
        <w:tabs>
          <w:tab w:val="left" w:pos="502"/>
        </w:tabs>
        <w:suppressAutoHyphens/>
        <w:autoSpaceDE w:val="0"/>
        <w:autoSpaceDN w:val="0"/>
        <w:spacing w:after="120" w:line="276" w:lineRule="auto"/>
        <w:ind w:left="1843" w:right="567" w:hanging="284"/>
        <w:jc w:val="both"/>
        <w:rPr>
          <w:rFonts w:ascii="Segoe UI" w:eastAsia="Times New Roman" w:hAnsi="Segoe UI" w:cs="Segoe UI"/>
          <w:bCs/>
          <w:szCs w:val="20"/>
          <w:lang w:eastAsia="ar-SA"/>
        </w:rPr>
      </w:pPr>
      <w:r w:rsidRPr="004D2D3F">
        <w:rPr>
          <w:rFonts w:ascii="Segoe UI" w:eastAsia="Times New Roman" w:hAnsi="Segoe UI" w:cs="Segoe UI"/>
          <w:bCs/>
          <w:szCs w:val="20"/>
          <w:lang w:eastAsia="ar-SA"/>
        </w:rPr>
        <w:t>drobnych aktów wandalizmu lub kradzieży do kwoty 3.500,00 PLN.</w:t>
      </w:r>
    </w:p>
    <w:p w14:paraId="76C72F21" w14:textId="77777777" w:rsidR="004D2D3F" w:rsidRPr="004D2D3F" w:rsidRDefault="004D2D3F" w:rsidP="008C453E">
      <w:pPr>
        <w:widowControl w:val="0"/>
        <w:numPr>
          <w:ilvl w:val="0"/>
          <w:numId w:val="5"/>
        </w:numPr>
        <w:tabs>
          <w:tab w:val="left" w:pos="502"/>
        </w:tabs>
        <w:suppressAutoHyphens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  <w:lang w:eastAsia="ar-SA"/>
        </w:rPr>
      </w:pPr>
      <w:r w:rsidRPr="004D2D3F">
        <w:rPr>
          <w:rFonts w:ascii="Segoe UI" w:eastAsia="Times New Roman" w:hAnsi="Segoe UI" w:cs="Segoe UI"/>
          <w:szCs w:val="20"/>
        </w:rPr>
        <w:t xml:space="preserve">Klauzula – Likwidacyjna </w:t>
      </w:r>
    </w:p>
    <w:p w14:paraId="784920D3" w14:textId="0180E766" w:rsidR="004D2D3F" w:rsidRDefault="004D2D3F" w:rsidP="00CC169C">
      <w:pPr>
        <w:widowControl w:val="0"/>
        <w:spacing w:after="120" w:line="276" w:lineRule="auto"/>
        <w:ind w:left="1355" w:right="56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 ciągu 7 dni od daty zgłoszenia szkody Wykonawca zobowiązuje się do</w:t>
      </w:r>
      <w:r w:rsidR="00EC2B4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przekazania za pośrednictwem brokera ubezpieczeniowego wykazu dokumentów niezbędnych do wyjaśnienia okoliczności szkody i wyliczenia wysokości należnego odszkodowania. Żądanie dodatkowych dokumentów nieujętych w w/w wykazie, a niezbędnych, zdaniem Wykonawcy do uznania roszczenia będzie przekazywane pisemnie bez zbędnej zwłoki Zamawiającemu,</w:t>
      </w:r>
      <w:r w:rsidR="00207634">
        <w:rPr>
          <w:rFonts w:ascii="Segoe UI" w:eastAsia="Times New Roman" w:hAnsi="Segoe UI" w:cs="Segoe UI"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za</w:t>
      </w:r>
      <w:r w:rsidR="00207634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pośrednictwem brokera ubezpieczeniowego.</w:t>
      </w:r>
    </w:p>
    <w:p w14:paraId="352F0826" w14:textId="77777777" w:rsidR="00B0514B" w:rsidRPr="0092542F" w:rsidRDefault="00B0514B" w:rsidP="00CC169C">
      <w:pPr>
        <w:widowControl w:val="0"/>
        <w:tabs>
          <w:tab w:val="left" w:pos="502"/>
        </w:tabs>
        <w:suppressAutoHyphens/>
        <w:autoSpaceDE w:val="0"/>
        <w:autoSpaceDN w:val="0"/>
        <w:spacing w:after="0" w:line="276" w:lineRule="auto"/>
        <w:ind w:left="1353" w:right="566"/>
        <w:jc w:val="both"/>
        <w:rPr>
          <w:rFonts w:ascii="Segoe UI" w:eastAsia="Times New Roman" w:hAnsi="Segoe UI" w:cs="Segoe UI"/>
          <w:szCs w:val="20"/>
        </w:rPr>
      </w:pPr>
    </w:p>
    <w:p w14:paraId="287D3D95" w14:textId="0545D1F5" w:rsidR="004D2D3F" w:rsidRPr="004D2D3F" w:rsidRDefault="004D2D3F" w:rsidP="008C453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>Klauzula samolikwidacji drobnych szkód</w:t>
      </w:r>
      <w:r w:rsidR="0092542F">
        <w:rPr>
          <w:rFonts w:ascii="Segoe UI" w:eastAsia="Times New Roman" w:hAnsi="Segoe UI" w:cs="Segoe UI"/>
          <w:bCs/>
          <w:szCs w:val="20"/>
        </w:rPr>
        <w:t>:</w:t>
      </w:r>
    </w:p>
    <w:p w14:paraId="67B04B94" w14:textId="1AE3EFBE" w:rsidR="004D2D3F" w:rsidRPr="004D2D3F" w:rsidRDefault="004D2D3F" w:rsidP="008C453E">
      <w:pPr>
        <w:widowControl w:val="0"/>
        <w:numPr>
          <w:ilvl w:val="0"/>
          <w:numId w:val="2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W przypadku szkód, których szacowana, całkowita wartość nie przekracza kwoty </w:t>
      </w:r>
      <w:r w:rsidR="00D2678C">
        <w:rPr>
          <w:rFonts w:ascii="Segoe UI" w:eastAsia="Times New Roman" w:hAnsi="Segoe UI" w:cs="Segoe UI"/>
          <w:szCs w:val="20"/>
        </w:rPr>
        <w:t>5</w:t>
      </w:r>
      <w:r w:rsidRPr="004D2D3F">
        <w:rPr>
          <w:rFonts w:ascii="Segoe UI" w:eastAsia="Times New Roman" w:hAnsi="Segoe UI" w:cs="Segoe UI"/>
          <w:szCs w:val="20"/>
        </w:rPr>
        <w:t>.000,00 PLN na dzień jej powstania, Zamawiający ma prawo przystąpić do robót naprawczych natychmiast po uzyskaniu informacji o szkodzie, sporządzając uprzednio pisemny protokół o okolicznościach powstania takiej szkody oraz o jej skutkach wraz z dokumentacją zdjęciową. Protokół szkodowy powinien być podpisany przez przedstawicieli Zamawiającego, świadka zdarzenia lub osobę, która wykryła szkodę. Niezależnie od powyższych postanowień, Zamawiający ma obowiązek zawiadomić o szkodzie policję w przypadku, gdy szkoda jest wynikiem lub nosi znamiona przestępstwa. W przypadku, gdy Zamawiający nie zastosuje się do powyższych postanowień Wykonawca może odmówić wypłaty odszkodowania w</w:t>
      </w:r>
      <w:r w:rsidR="00B02DAB">
        <w:rPr>
          <w:rFonts w:ascii="Segoe UI" w:eastAsia="Times New Roman" w:hAnsi="Segoe UI" w:cs="Segoe UI"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>części lub całości.</w:t>
      </w:r>
    </w:p>
    <w:p w14:paraId="71504D6C" w14:textId="77777777" w:rsidR="004D2D3F" w:rsidRPr="004D2D3F" w:rsidRDefault="004D2D3F" w:rsidP="008C453E">
      <w:pPr>
        <w:widowControl w:val="0"/>
        <w:numPr>
          <w:ilvl w:val="0"/>
          <w:numId w:val="2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Dokumenty niezbędne do przeprowadzenia likwidacji szkody:</w:t>
      </w:r>
    </w:p>
    <w:p w14:paraId="30B70E37" w14:textId="77777777" w:rsidR="004D2D3F" w:rsidRPr="004D2D3F" w:rsidRDefault="004D2D3F" w:rsidP="008C453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410" w:right="566" w:hanging="283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lastRenderedPageBreak/>
        <w:t>protokół wewnętrzny spisany na okoliczność zdarzenia;</w:t>
      </w:r>
    </w:p>
    <w:p w14:paraId="79A90FB2" w14:textId="77777777" w:rsidR="004D2D3F" w:rsidRPr="004D2D3F" w:rsidRDefault="004D2D3F" w:rsidP="008C453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410" w:right="566" w:hanging="283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dokumentacja zdjęciowa;</w:t>
      </w:r>
    </w:p>
    <w:p w14:paraId="65CC16F3" w14:textId="77777777" w:rsidR="004D2D3F" w:rsidRPr="004D2D3F" w:rsidRDefault="004D2D3F" w:rsidP="008C453E">
      <w:pPr>
        <w:widowControl w:val="0"/>
        <w:numPr>
          <w:ilvl w:val="0"/>
          <w:numId w:val="9"/>
        </w:numPr>
        <w:tabs>
          <w:tab w:val="left" w:pos="502"/>
        </w:tabs>
        <w:suppressAutoHyphens/>
        <w:autoSpaceDE w:val="0"/>
        <w:autoSpaceDN w:val="0"/>
        <w:spacing w:after="0" w:line="276" w:lineRule="auto"/>
        <w:ind w:left="2410" w:right="566" w:hanging="283"/>
        <w:jc w:val="both"/>
        <w:rPr>
          <w:rFonts w:ascii="Segoe UI" w:eastAsia="Times New Roman" w:hAnsi="Segoe UI" w:cs="Segoe UI"/>
          <w:bCs/>
          <w:szCs w:val="20"/>
          <w:lang w:eastAsia="ar-SA"/>
        </w:rPr>
      </w:pPr>
      <w:r w:rsidRPr="004D2D3F">
        <w:rPr>
          <w:rFonts w:ascii="Segoe UI" w:eastAsia="Times New Roman" w:hAnsi="Segoe UI" w:cs="Segoe UI"/>
          <w:szCs w:val="20"/>
          <w:lang w:eastAsia="ar-SA"/>
        </w:rPr>
        <w:t xml:space="preserve">poświadczenie zgłoszenia zdarzenia na Policji (tylko </w:t>
      </w:r>
      <w:r w:rsidRPr="004D2D3F">
        <w:rPr>
          <w:rFonts w:ascii="Segoe UI" w:eastAsia="Times New Roman" w:hAnsi="Segoe UI" w:cs="Segoe UI"/>
          <w:bCs/>
          <w:szCs w:val="20"/>
          <w:lang w:eastAsia="ar-SA"/>
        </w:rPr>
        <w:t>w przypadku, kiedy szkoda jest wynikiem lub posiada znamiona przestępstwa)</w:t>
      </w:r>
    </w:p>
    <w:p w14:paraId="50873F30" w14:textId="5748BF2D" w:rsidR="004D2D3F" w:rsidRPr="00906938" w:rsidRDefault="004D2D3F" w:rsidP="004D2D3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410" w:right="566" w:hanging="283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kalkulacja poniesionej straty - koszt naprawy (robocizna, materiał, transport)/ zakupu - wraz z fakturą za naprawę/ zakup mienia.</w:t>
      </w:r>
    </w:p>
    <w:p w14:paraId="6F9002CE" w14:textId="1F035B02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 xml:space="preserve">FRANSZYZY </w:t>
      </w:r>
      <w:r w:rsidR="0092542F">
        <w:br/>
      </w:r>
    </w:p>
    <w:p w14:paraId="744E6FC7" w14:textId="374D9342" w:rsidR="005F3999" w:rsidRPr="00766F9F" w:rsidRDefault="004D2D3F" w:rsidP="00766F9F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52DE1">
        <w:rPr>
          <w:rFonts w:ascii="Segoe UI" w:eastAsia="Times New Roman" w:hAnsi="Segoe UI" w:cs="Segoe UI"/>
          <w:iCs/>
          <w:szCs w:val="20"/>
          <w:lang w:eastAsia="pl-PL"/>
        </w:rPr>
        <w:t xml:space="preserve">Franszyza </w:t>
      </w:r>
      <w:r w:rsidRPr="00B52DE1">
        <w:rPr>
          <w:rFonts w:ascii="Segoe UI" w:eastAsia="Times New Roman" w:hAnsi="Segoe UI" w:cs="Segoe UI"/>
          <w:bCs/>
          <w:iCs/>
          <w:szCs w:val="20"/>
          <w:lang w:eastAsia="pl-PL"/>
        </w:rPr>
        <w:t>redukcyjna</w:t>
      </w:r>
      <w:r w:rsidR="005F3999">
        <w:rPr>
          <w:rFonts w:ascii="Segoe UI" w:eastAsia="Times New Roman" w:hAnsi="Segoe UI" w:cs="Segoe UI"/>
          <w:bCs/>
          <w:iCs/>
          <w:szCs w:val="20"/>
          <w:lang w:eastAsia="pl-PL"/>
        </w:rPr>
        <w:t>:</w:t>
      </w:r>
      <w:r w:rsidRPr="00B52DE1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</w:t>
      </w:r>
      <w:r w:rsidR="005F3999" w:rsidRPr="00766F9F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 </w:t>
      </w:r>
      <w:r w:rsidR="003F7C11" w:rsidRPr="00766F9F">
        <w:rPr>
          <w:rFonts w:ascii="Segoe UI" w:eastAsia="Times New Roman" w:hAnsi="Segoe UI" w:cs="Segoe UI"/>
          <w:b/>
          <w:iCs/>
          <w:szCs w:val="20"/>
          <w:lang w:eastAsia="pl-PL"/>
        </w:rPr>
        <w:t>2</w:t>
      </w:r>
      <w:r w:rsidR="00AC46E0" w:rsidRPr="00766F9F">
        <w:rPr>
          <w:rFonts w:ascii="Segoe UI" w:eastAsia="Times New Roman" w:hAnsi="Segoe UI" w:cs="Segoe UI"/>
          <w:b/>
          <w:iCs/>
          <w:szCs w:val="20"/>
          <w:lang w:eastAsia="pl-PL"/>
        </w:rPr>
        <w:t> </w:t>
      </w:r>
      <w:r w:rsidRPr="00766F9F">
        <w:rPr>
          <w:rFonts w:ascii="Segoe UI" w:eastAsia="Times New Roman" w:hAnsi="Segoe UI" w:cs="Segoe UI"/>
          <w:b/>
          <w:iCs/>
          <w:szCs w:val="20"/>
          <w:lang w:eastAsia="pl-PL"/>
        </w:rPr>
        <w:t>00</w:t>
      </w:r>
      <w:r w:rsidR="00AC46E0" w:rsidRPr="00766F9F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0 </w:t>
      </w:r>
      <w:r w:rsidRPr="00766F9F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PLN, </w:t>
      </w:r>
    </w:p>
    <w:p w14:paraId="02C88809" w14:textId="7393D583" w:rsidR="004D2D3F" w:rsidRPr="00B52DE1" w:rsidRDefault="004D2D3F" w:rsidP="005F3999">
      <w:pPr>
        <w:widowControl w:val="0"/>
        <w:autoSpaceDE w:val="0"/>
        <w:autoSpaceDN w:val="0"/>
        <w:spacing w:after="0" w:line="276" w:lineRule="auto"/>
        <w:ind w:left="1418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B52DE1">
        <w:rPr>
          <w:rFonts w:ascii="Segoe UI" w:eastAsia="Times New Roman" w:hAnsi="Segoe UI" w:cs="Segoe UI"/>
          <w:bCs/>
          <w:iCs/>
          <w:szCs w:val="20"/>
          <w:lang w:eastAsia="pl-PL"/>
        </w:rPr>
        <w:t>za wyjątkiem:</w:t>
      </w:r>
    </w:p>
    <w:p w14:paraId="59B23E8E" w14:textId="531AE721" w:rsidR="00571FE7" w:rsidRPr="009A1354" w:rsidRDefault="00B42197" w:rsidP="008C453E">
      <w:pPr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9A1354">
        <w:rPr>
          <w:rFonts w:ascii="Segoe UI" w:eastAsia="Times New Roman" w:hAnsi="Segoe UI" w:cs="Segoe UI"/>
          <w:iCs/>
          <w:szCs w:val="20"/>
          <w:lang w:eastAsia="pl-PL"/>
        </w:rPr>
        <w:t>Sz</w:t>
      </w:r>
      <w:r w:rsidR="007F5CF0" w:rsidRPr="009A1354">
        <w:rPr>
          <w:rFonts w:ascii="Segoe UI" w:eastAsia="Times New Roman" w:hAnsi="Segoe UI" w:cs="Segoe UI"/>
          <w:iCs/>
          <w:szCs w:val="20"/>
          <w:lang w:eastAsia="pl-PL"/>
        </w:rPr>
        <w:t>yby od stłuczenia</w:t>
      </w:r>
      <w:r w:rsidRPr="009A1354">
        <w:rPr>
          <w:rFonts w:ascii="Segoe UI" w:eastAsia="Times New Roman" w:hAnsi="Segoe UI" w:cs="Segoe UI"/>
          <w:iCs/>
          <w:szCs w:val="20"/>
          <w:lang w:eastAsia="pl-PL"/>
        </w:rPr>
        <w:t xml:space="preserve"> – 300 zł</w:t>
      </w:r>
    </w:p>
    <w:p w14:paraId="621763A9" w14:textId="44CF8EE3" w:rsidR="004D2D3F" w:rsidRPr="009A1354" w:rsidRDefault="004D2D3F" w:rsidP="008C453E">
      <w:pPr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9A1354">
        <w:rPr>
          <w:rFonts w:ascii="Segoe UI" w:eastAsia="Times New Roman" w:hAnsi="Segoe UI" w:cs="Segoe UI"/>
          <w:iCs/>
          <w:szCs w:val="20"/>
          <w:lang w:eastAsia="pl-PL"/>
        </w:rPr>
        <w:t>Ubezpieczenie ryzyka terroryzmu – 5 000 PLN</w:t>
      </w:r>
    </w:p>
    <w:p w14:paraId="3657328C" w14:textId="55B5ED75" w:rsidR="004D2D3F" w:rsidRPr="009A1354" w:rsidRDefault="004D2D3F" w:rsidP="008C453E">
      <w:pPr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9A1354">
        <w:rPr>
          <w:rFonts w:ascii="Segoe UI" w:eastAsia="Times New Roman" w:hAnsi="Segoe UI" w:cs="Segoe UI"/>
          <w:iCs/>
          <w:szCs w:val="20"/>
          <w:lang w:eastAsia="pl-PL"/>
        </w:rPr>
        <w:t>Ubezpieczenie ryzyka strajku, rozruchów i zamieszek społecznych – 5</w:t>
      </w:r>
      <w:r w:rsidR="00D1009D" w:rsidRPr="009A1354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9A1354">
        <w:rPr>
          <w:rFonts w:ascii="Segoe UI" w:eastAsia="Times New Roman" w:hAnsi="Segoe UI" w:cs="Segoe UI"/>
          <w:iCs/>
          <w:szCs w:val="20"/>
          <w:lang w:eastAsia="pl-PL"/>
        </w:rPr>
        <w:t>000</w:t>
      </w:r>
      <w:r w:rsidR="00D1009D" w:rsidRPr="009A1354">
        <w:rPr>
          <w:rFonts w:ascii="Segoe UI" w:eastAsia="Times New Roman" w:hAnsi="Segoe UI" w:cs="Segoe UI"/>
          <w:iCs/>
          <w:szCs w:val="20"/>
          <w:lang w:eastAsia="pl-PL"/>
        </w:rPr>
        <w:t> </w:t>
      </w:r>
      <w:r w:rsidRPr="009A1354">
        <w:rPr>
          <w:rFonts w:ascii="Segoe UI" w:eastAsia="Times New Roman" w:hAnsi="Segoe UI" w:cs="Segoe UI"/>
          <w:iCs/>
          <w:szCs w:val="20"/>
          <w:lang w:eastAsia="pl-PL"/>
        </w:rPr>
        <w:t>PLN</w:t>
      </w:r>
    </w:p>
    <w:p w14:paraId="4A3B01C5" w14:textId="0C27F3F8" w:rsidR="004D2D3F" w:rsidRPr="00A476F0" w:rsidRDefault="004D2D3F" w:rsidP="008C453E">
      <w:pPr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9A1354">
        <w:rPr>
          <w:rFonts w:ascii="Segoe UI" w:eastAsia="Times New Roman" w:hAnsi="Segoe UI" w:cs="Segoe UI"/>
          <w:szCs w:val="20"/>
        </w:rPr>
        <w:t>Ubezpieczenie zwiększonych kosztów działalności – 3 dni</w:t>
      </w:r>
    </w:p>
    <w:p w14:paraId="73C7216B" w14:textId="2AEC7CD0" w:rsidR="00A476F0" w:rsidRPr="009A1354" w:rsidRDefault="00A476F0" w:rsidP="008C453E">
      <w:pPr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>
        <w:rPr>
          <w:rFonts w:ascii="Segoe UI" w:eastAsia="Times New Roman" w:hAnsi="Segoe UI" w:cs="Segoe UI"/>
          <w:iCs/>
          <w:szCs w:val="20"/>
          <w:lang w:eastAsia="pl-PL"/>
        </w:rPr>
        <w:t>Sprzęt elektroniczny (1000 zł / 300 zł wariant fakultatywny zależny od treści oferty)</w:t>
      </w:r>
    </w:p>
    <w:p w14:paraId="54BFC565" w14:textId="5EC73019" w:rsidR="004D2D3F" w:rsidRPr="004D2D3F" w:rsidRDefault="004D2D3F" w:rsidP="004D2D3F">
      <w:pPr>
        <w:widowControl w:val="0"/>
        <w:autoSpaceDE w:val="0"/>
        <w:autoSpaceDN w:val="0"/>
        <w:spacing w:after="0" w:line="276" w:lineRule="auto"/>
        <w:ind w:left="1713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</w:p>
    <w:p w14:paraId="3911E569" w14:textId="4D9BB2ED" w:rsidR="004D2D3F" w:rsidRPr="0092542F" w:rsidRDefault="004D2D3F" w:rsidP="008C453E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Przez pojęcie franszyzy redukcyjnej należy rozumieć ustaloną w umowie ubezpieczenia wartość, o jaką będzie pomniejszone odszkodowanie ustalone łącznie dla wszystkich ubezpieczonych przedmiotów dotkniętych szkodą, powstałą w skutek tego samego zdarzenia.</w:t>
      </w:r>
    </w:p>
    <w:p w14:paraId="7E9AC1F6" w14:textId="77777777" w:rsidR="004D2D3F" w:rsidRPr="004D2D3F" w:rsidRDefault="004D2D3F" w:rsidP="008C453E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Szkoda seryjna:</w:t>
      </w:r>
    </w:p>
    <w:p w14:paraId="120FEBE3" w14:textId="77777777" w:rsidR="004D2D3F" w:rsidRPr="004D2D3F" w:rsidRDefault="004D2D3F" w:rsidP="008C453E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wszystkie szkody, które powstały z tej samej przyczyny niezależnie od miejsca i chwili jej wystąpienia, w ramach ubezpieczonej lokalizacji, traktuje się jako jedną szkodę; </w:t>
      </w:r>
    </w:p>
    <w:p w14:paraId="07D91E23" w14:textId="77777777" w:rsidR="004D2D3F" w:rsidRPr="004D2D3F" w:rsidRDefault="004D2D3F" w:rsidP="008C453E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za chwilę jej wystąpienia przyjmuje się chwilę powstania pierwszej z nich;</w:t>
      </w:r>
    </w:p>
    <w:p w14:paraId="2F65E0CF" w14:textId="7F865361" w:rsidR="004D2D3F" w:rsidRPr="004D2D3F" w:rsidRDefault="004D2D3F" w:rsidP="008C453E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ochroną ubezpieczeniową objęte są wszystkie szkody z serii pod warunkiem, iż wypadek ubezpieczeniowy je powodujący miał miejsce </w:t>
      </w:r>
      <w:r w:rsidR="003A2DF6">
        <w:rPr>
          <w:rFonts w:ascii="Segoe UI" w:eastAsia="Times New Roman" w:hAnsi="Segoe UI" w:cs="Segoe UI"/>
          <w:iCs/>
          <w:szCs w:val="20"/>
          <w:lang w:eastAsia="pl-PL"/>
        </w:rPr>
        <w:br/>
      </w:r>
      <w:r w:rsidRPr="004D2D3F">
        <w:rPr>
          <w:rFonts w:ascii="Segoe UI" w:eastAsia="Times New Roman" w:hAnsi="Segoe UI" w:cs="Segoe UI"/>
          <w:iCs/>
          <w:szCs w:val="20"/>
          <w:lang w:eastAsia="pl-PL"/>
        </w:rPr>
        <w:t>w trakcie okresu ubezpieczenia;</w:t>
      </w:r>
    </w:p>
    <w:p w14:paraId="089809C7" w14:textId="11F92864" w:rsidR="004D2D3F" w:rsidRPr="008C453E" w:rsidRDefault="004D2D3F" w:rsidP="008C453E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>w przypadku szkody seryjnej potrąca się wyłącznie jedną franszyzę.</w:t>
      </w:r>
    </w:p>
    <w:p w14:paraId="7D564522" w14:textId="1F4F3E29" w:rsidR="004D2D3F" w:rsidRPr="00906938" w:rsidRDefault="004D2D3F" w:rsidP="004D2D3F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1418" w:right="566" w:hanging="284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 w:rsidRPr="004D2D3F">
        <w:rPr>
          <w:rFonts w:ascii="Segoe UI" w:eastAsia="Times New Roman" w:hAnsi="Segoe UI" w:cs="Segoe UI"/>
          <w:iCs/>
          <w:szCs w:val="20"/>
          <w:lang w:eastAsia="pl-PL"/>
        </w:rPr>
        <w:t xml:space="preserve">Ustala się, że wszystkie szkody powstałe na skutek stałego oddziaływania tego samego pojedynczego zdarzenia losowego, nawet w różnych lokalizacjach (np. huraganu, powodzi, deszczu nawalnego, trzęsienia ziemi, mrozu) traktowane są jako pojedyncza szkoda w odniesieniu do sumy ubezpieczenia oraz franszyzy redukcyjnej określonych w umowie ubezpieczenia. </w:t>
      </w:r>
    </w:p>
    <w:p w14:paraId="71A7249B" w14:textId="021C9EC3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POSTANOWIENIA DODATKOWE</w:t>
      </w:r>
      <w:r w:rsidR="0092542F">
        <w:br/>
      </w:r>
    </w:p>
    <w:p w14:paraId="548F9687" w14:textId="506AD7F6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Zakres ubezpieczenia obejmuje koszty ponownego napełnienia urządzeń gaśniczych (automatycznych) w sytuacji ich uruchomienia niezwiązanego z</w:t>
      </w:r>
      <w:r w:rsidR="0092542F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prowadzoną akcją ratowniczą. Limit odpowiedzialności: zgodny z Tabelą Limitów</w:t>
      </w:r>
      <w:r w:rsidR="0092542F">
        <w:rPr>
          <w:rFonts w:ascii="Segoe UI" w:eastAsia="Times New Roman" w:hAnsi="Segoe UI" w:cs="Segoe UI"/>
          <w:szCs w:val="20"/>
          <w:lang w:eastAsia="pl-PL"/>
        </w:rPr>
        <w:t>,</w:t>
      </w:r>
    </w:p>
    <w:p w14:paraId="3060915E" w14:textId="31075943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W sytuacji prowadzonej akcji ratowniczej koszty napełnienia pokrywane są w ramach kosztów prowadzenia akcji ratowniczej</w:t>
      </w:r>
      <w:r w:rsidR="0092542F">
        <w:rPr>
          <w:rFonts w:ascii="Segoe UI" w:eastAsia="Times New Roman" w:hAnsi="Segoe UI" w:cs="Segoe UI"/>
          <w:szCs w:val="20"/>
          <w:lang w:eastAsia="pl-PL"/>
        </w:rPr>
        <w:t>,</w:t>
      </w:r>
    </w:p>
    <w:p w14:paraId="695D0731" w14:textId="775FCE1E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lastRenderedPageBreak/>
        <w:t>Ochrona ubezpieczeniowa obejmuje również mienie tymczasowo wyłączone z eksploatacji</w:t>
      </w:r>
      <w:r w:rsidR="0092542F">
        <w:rPr>
          <w:rFonts w:ascii="Segoe UI" w:eastAsia="Times New Roman" w:hAnsi="Segoe UI" w:cs="Segoe UI"/>
          <w:szCs w:val="20"/>
          <w:lang w:eastAsia="pl-PL"/>
        </w:rPr>
        <w:t>,</w:t>
      </w:r>
    </w:p>
    <w:p w14:paraId="15CAE527" w14:textId="3571098A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Zastosowania nie ma wyłączenie dotyczące budynków i budowli nieużytkowanych powyżej 30 dni</w:t>
      </w:r>
      <w:r w:rsidR="00803435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Pr="004D2D3F">
        <w:rPr>
          <w:rFonts w:ascii="Segoe UI" w:eastAsia="Times New Roman" w:hAnsi="Segoe UI" w:cs="Segoe UI"/>
          <w:szCs w:val="20"/>
          <w:lang w:eastAsia="pl-PL"/>
        </w:rPr>
        <w:t>oraz mienia w nich przechowywanego</w:t>
      </w:r>
      <w:r w:rsidR="0092542F">
        <w:rPr>
          <w:rFonts w:ascii="Segoe UI" w:eastAsia="Times New Roman" w:hAnsi="Segoe UI" w:cs="Segoe UI"/>
          <w:szCs w:val="20"/>
          <w:lang w:eastAsia="pl-PL"/>
        </w:rPr>
        <w:t>,</w:t>
      </w:r>
    </w:p>
    <w:p w14:paraId="75F0DFF2" w14:textId="218336F4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Wykonawca pokryje koszty poszukiwania przyczyn szkody, w tym wycieku z instalacji wodno-kanalizacyjnej do wysokości określonej w Tabeli Limitów na jedno i wszystkie zdarzenia w rocznym okresie ubezpieczenia. W ramach kosztów poszukiwana, Wykonawca pokryje wszelkie koszty (w</w:t>
      </w:r>
      <w:r w:rsidR="0092542F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szczególności: robocizny, materiałów i użytego sprzętu) niezbędne do</w:t>
      </w:r>
      <w:r w:rsidR="00F564B5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odnalezienia przyczyny szkody oraz przywrócenia mienia do stanu pierwotnego, niezależnie od tego do kogo należy mienie, które zostało uszkodzone na skutek poszukiwania przyczyny szkody, a także bez względu na efekt takich poszukiwań.</w:t>
      </w:r>
    </w:p>
    <w:p w14:paraId="17F727EF" w14:textId="3DD934DD" w:rsidR="004D2D3F" w:rsidRPr="0092542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Wykonawca pokryje szkody następcze związane z zaistniałą szkodą m.in. wyciek mediów (wody) z limitem wskazanym w Tabeli Limitów.</w:t>
      </w:r>
    </w:p>
    <w:p w14:paraId="2D9D4F17" w14:textId="5DD37050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  <w:lang w:eastAsia="ar-SA"/>
        </w:rPr>
        <w:t>Klauzula</w:t>
      </w:r>
      <w:r w:rsidRPr="004D2D3F">
        <w:rPr>
          <w:rFonts w:ascii="Segoe UI" w:eastAsia="Times New Roman" w:hAnsi="Segoe UI" w:cs="Segoe UI"/>
          <w:bCs/>
          <w:szCs w:val="20"/>
        </w:rPr>
        <w:t xml:space="preserve"> – Ubezpieczenie kosztów uprzątnięcia pozostałości po szkodzie</w:t>
      </w:r>
    </w:p>
    <w:p w14:paraId="114F5D72" w14:textId="77777777" w:rsidR="0092542F" w:rsidRPr="00D45D1C" w:rsidRDefault="004D2D3F" w:rsidP="00D45D1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napToGrid w:val="0"/>
          <w:szCs w:val="20"/>
        </w:rPr>
      </w:pPr>
      <w:r w:rsidRPr="00D45D1C">
        <w:rPr>
          <w:rFonts w:ascii="Segoe UI" w:eastAsia="Times New Roman" w:hAnsi="Segoe UI" w:cs="Segoe UI"/>
          <w:snapToGrid w:val="0"/>
          <w:szCs w:val="20"/>
        </w:rPr>
        <w:t>Wykonawca pokrywa, ponad sumę ubezpieczenia mienia, wszelkie uzasadnione i udokumentowane koszty uprzątnięcia pozostałości po szkodzie łącznie z kosztami rozbiórki (demontażu, utylizacji, złomowania, usunięcia rumowiska, oszalowania lub umocnienia oraz wywiezienia pozostałości), poniesione przez Zamawiającego w związku ze zrealizowaniem się zdarzenia szkodowego objętego pokryciem w ramach umowy ubezpieczenia</w:t>
      </w:r>
      <w:r w:rsidR="0092542F" w:rsidRPr="00D45D1C">
        <w:rPr>
          <w:rFonts w:ascii="Segoe UI" w:eastAsia="Times New Roman" w:hAnsi="Segoe UI" w:cs="Segoe UI"/>
          <w:snapToGrid w:val="0"/>
          <w:szCs w:val="20"/>
        </w:rPr>
        <w:t xml:space="preserve">, </w:t>
      </w:r>
    </w:p>
    <w:p w14:paraId="0FC82A2B" w14:textId="791C0D08" w:rsidR="004D2D3F" w:rsidRPr="00D45D1C" w:rsidRDefault="004D2D3F" w:rsidP="00D45D1C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napToGrid w:val="0"/>
          <w:szCs w:val="20"/>
        </w:rPr>
      </w:pPr>
      <w:r w:rsidRPr="00D45D1C">
        <w:rPr>
          <w:rFonts w:ascii="Segoe UI" w:eastAsia="Times New Roman" w:hAnsi="Segoe UI" w:cs="Segoe UI"/>
          <w:snapToGrid w:val="0"/>
          <w:szCs w:val="20"/>
        </w:rPr>
        <w:t>odpowiedzialności: zgodny z Tabelą Limitów</w:t>
      </w:r>
      <w:r w:rsidR="006E57B0">
        <w:rPr>
          <w:rFonts w:ascii="Segoe UI" w:eastAsia="Times New Roman" w:hAnsi="Segoe UI" w:cs="Segoe UI"/>
          <w:snapToGrid w:val="0"/>
          <w:szCs w:val="20"/>
        </w:rPr>
        <w:t>.</w:t>
      </w:r>
    </w:p>
    <w:p w14:paraId="2E4BB2DE" w14:textId="77777777" w:rsidR="00EB2105" w:rsidRPr="00F564B5" w:rsidRDefault="00EB2105" w:rsidP="00F564B5">
      <w:pPr>
        <w:spacing w:after="0" w:line="276" w:lineRule="auto"/>
        <w:ind w:left="645" w:right="566" w:firstLine="708"/>
        <w:jc w:val="both"/>
        <w:rPr>
          <w:rFonts w:ascii="Segoe UI" w:eastAsia="Times New Roman" w:hAnsi="Segoe UI" w:cs="Segoe UI"/>
          <w:szCs w:val="20"/>
        </w:rPr>
      </w:pPr>
    </w:p>
    <w:p w14:paraId="0D066F31" w14:textId="442CF540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prewencyjna</w:t>
      </w:r>
    </w:p>
    <w:p w14:paraId="3854A0B2" w14:textId="0BC97025" w:rsidR="004D2D3F" w:rsidRDefault="004D2D3F" w:rsidP="0092542F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Ustala się dodatkową kwotę w wysokości określonej w Tabeli Limitów do</w:t>
      </w:r>
      <w:r w:rsidR="00F564B5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wykorzystania w razie stwierdzenia niedoubezpieczenia lub niewystarczającego limitu  w przypadku powstania szkody</w:t>
      </w:r>
      <w:r w:rsidR="00792916">
        <w:rPr>
          <w:rFonts w:ascii="Segoe UI" w:eastAsia="Times New Roman" w:hAnsi="Segoe UI" w:cs="Segoe UI"/>
          <w:szCs w:val="20"/>
        </w:rPr>
        <w:t>.</w:t>
      </w:r>
    </w:p>
    <w:p w14:paraId="09ACC928" w14:textId="77777777" w:rsidR="00792916" w:rsidRDefault="00792916" w:rsidP="0092542F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</w:rPr>
      </w:pPr>
    </w:p>
    <w:p w14:paraId="09236779" w14:textId="5CD3EEFF" w:rsidR="00480A82" w:rsidRDefault="00480A82" w:rsidP="00480A8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napToGrid w:val="0"/>
          <w:szCs w:val="20"/>
        </w:rPr>
      </w:pPr>
      <w:r w:rsidRPr="00D45D1C">
        <w:rPr>
          <w:rFonts w:ascii="Segoe UI" w:eastAsia="Times New Roman" w:hAnsi="Segoe UI" w:cs="Segoe UI"/>
          <w:szCs w:val="20"/>
        </w:rPr>
        <w:t>Klauzula</w:t>
      </w:r>
      <w:r>
        <w:rPr>
          <w:rFonts w:ascii="Segoe UI" w:eastAsia="Times New Roman" w:hAnsi="Segoe UI" w:cs="Segoe UI"/>
          <w:snapToGrid w:val="0"/>
          <w:szCs w:val="20"/>
        </w:rPr>
        <w:t xml:space="preserve"> zmian w odbudowie</w:t>
      </w:r>
    </w:p>
    <w:p w14:paraId="2ADA9CE3" w14:textId="29291378" w:rsidR="00480A82" w:rsidRPr="00772B9E" w:rsidRDefault="00772B9E" w:rsidP="00772B9E">
      <w:pPr>
        <w:widowControl w:val="0"/>
        <w:autoSpaceDE w:val="0"/>
        <w:autoSpaceDN w:val="0"/>
        <w:spacing w:after="0" w:line="276" w:lineRule="auto"/>
        <w:ind w:left="1713" w:right="566" w:firstLine="708"/>
        <w:jc w:val="both"/>
        <w:rPr>
          <w:rFonts w:ascii="Segoe UI" w:eastAsia="Times New Roman" w:hAnsi="Segoe UI" w:cs="Segoe UI"/>
          <w:snapToGrid w:val="0"/>
          <w:szCs w:val="20"/>
        </w:rPr>
      </w:pPr>
      <w:r w:rsidRPr="00772B9E">
        <w:rPr>
          <w:rFonts w:ascii="Segoe UI" w:eastAsia="Times New Roman" w:hAnsi="Segoe UI" w:cs="Segoe UI"/>
          <w:snapToGrid w:val="0"/>
          <w:szCs w:val="20"/>
        </w:rPr>
        <w:t xml:space="preserve">1. 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„Zmiany w odbudowie” – Ubezpieczyciel wyraża zgodę na odbudowę zniszczonego albo uszkodzonego ubezpieczonego budynku lub budowli przy zastosowaniu zmienionej konstrukcji i/lub technologii i/lub projektu odbudowy, o ile zmiana odbudowy wynika z aktualnie obowiązujących przepisów prawa lub decyzji administracyjnych albo rachunku ekonomicznego bądź innych okoliczności zależnych i</w:t>
      </w:r>
      <w:r w:rsidR="000365C1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 xml:space="preserve">niezależnych od Ubezpieczonego. </w:t>
      </w:r>
      <w:r w:rsidR="006848C5" w:rsidRPr="00772B9E">
        <w:rPr>
          <w:rFonts w:ascii="Segoe UI" w:eastAsia="Times New Roman" w:hAnsi="Segoe UI" w:cs="Segoe UI"/>
          <w:snapToGrid w:val="0"/>
          <w:szCs w:val="20"/>
        </w:rPr>
        <w:t xml:space="preserve"> 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 xml:space="preserve">Wypłata odszkodowania na </w:t>
      </w:r>
      <w:r w:rsidR="006848C5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podstawie niniejszych zapisów następuje w</w:t>
      </w:r>
      <w:r w:rsidR="00FD4D16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granicach sumy ubezpieczenia budynku lub budowli.</w:t>
      </w:r>
    </w:p>
    <w:p w14:paraId="453F082E" w14:textId="1C43786D" w:rsidR="00480A82" w:rsidRPr="00772B9E" w:rsidRDefault="00772B9E" w:rsidP="00772B9E">
      <w:pPr>
        <w:widowControl w:val="0"/>
        <w:autoSpaceDE w:val="0"/>
        <w:autoSpaceDN w:val="0"/>
        <w:spacing w:after="0" w:line="276" w:lineRule="auto"/>
        <w:ind w:left="1713" w:right="566" w:firstLine="411"/>
        <w:jc w:val="both"/>
        <w:rPr>
          <w:rFonts w:ascii="Segoe UI" w:eastAsia="Times New Roman" w:hAnsi="Segoe UI" w:cs="Segoe UI"/>
          <w:snapToGrid w:val="0"/>
          <w:szCs w:val="20"/>
        </w:rPr>
      </w:pPr>
      <w:r>
        <w:rPr>
          <w:rFonts w:ascii="Segoe UI" w:eastAsia="Times New Roman" w:hAnsi="Segoe UI" w:cs="Segoe UI"/>
          <w:snapToGrid w:val="0"/>
          <w:szCs w:val="20"/>
        </w:rPr>
        <w:t xml:space="preserve">2. 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„Zmiana lokalizacji w odbudowie” - Ubezpieczyciel wyraża zgodę na odbudowę zniszczonego ubezpieczonego budynku lub budowli w</w:t>
      </w:r>
      <w:r w:rsidR="00FD4D16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innej lokalizacji na terenie RP, jeżeli zmiana lokalizacji wynika z</w:t>
      </w:r>
      <w:r w:rsidR="00FD4D16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 xml:space="preserve">wydanych decyzji administracyjnych (m.in. zezwolenia na budowę), warunków zabudowy albo rachunku ekonomicznego bądź innych okoliczności niezależnych od 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lastRenderedPageBreak/>
        <w:t>Ubezpieczonego. Odszkodowanie w</w:t>
      </w:r>
      <w:r w:rsidR="00FD4D16" w:rsidRPr="00772B9E">
        <w:rPr>
          <w:rFonts w:ascii="Segoe UI" w:eastAsia="Times New Roman" w:hAnsi="Segoe UI" w:cs="Segoe UI"/>
          <w:snapToGrid w:val="0"/>
          <w:szCs w:val="20"/>
        </w:rPr>
        <w:t> </w:t>
      </w:r>
      <w:r w:rsidR="00480A82" w:rsidRPr="00772B9E">
        <w:rPr>
          <w:rFonts w:ascii="Segoe UI" w:eastAsia="Times New Roman" w:hAnsi="Segoe UI" w:cs="Segoe UI"/>
          <w:snapToGrid w:val="0"/>
          <w:szCs w:val="20"/>
        </w:rPr>
        <w:t>takiej sytuacji nie pokrywa kosztów zakupu gruntu w nowej lokalizacji. Wypłata odszkodowania na podstawie niniejszych zapisów następuje w granicach sumy ubezpieczenia budynku lub budowli</w:t>
      </w:r>
      <w:r w:rsidR="000365C1" w:rsidRPr="00772B9E">
        <w:rPr>
          <w:rFonts w:ascii="Segoe UI" w:eastAsia="Times New Roman" w:hAnsi="Segoe UI" w:cs="Segoe UI"/>
          <w:snapToGrid w:val="0"/>
          <w:szCs w:val="20"/>
        </w:rPr>
        <w:t>.</w:t>
      </w:r>
    </w:p>
    <w:p w14:paraId="498490AA" w14:textId="77777777" w:rsidR="00480A82" w:rsidRPr="0092542F" w:rsidRDefault="00480A82" w:rsidP="00D45D1C">
      <w:pPr>
        <w:widowControl w:val="0"/>
        <w:autoSpaceDE w:val="0"/>
        <w:autoSpaceDN w:val="0"/>
        <w:spacing w:after="0" w:line="276" w:lineRule="auto"/>
        <w:ind w:left="1713" w:right="566"/>
        <w:jc w:val="both"/>
        <w:rPr>
          <w:rFonts w:ascii="Segoe UI" w:eastAsia="Times New Roman" w:hAnsi="Segoe UI" w:cs="Segoe UI"/>
          <w:snapToGrid w:val="0"/>
          <w:szCs w:val="20"/>
        </w:rPr>
      </w:pPr>
    </w:p>
    <w:p w14:paraId="21A59CFD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>Klauzula automatycznego pokrycia</w:t>
      </w:r>
    </w:p>
    <w:p w14:paraId="698464F5" w14:textId="67F784FE" w:rsidR="004D2D3F" w:rsidRPr="004D2D3F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Automatyczną ochroną ubezpieczeniową, w okresie ubezpieczenia określonym w polisie, objęte zostaje wszelkie </w:t>
      </w:r>
      <w:r w:rsidR="0092542F">
        <w:rPr>
          <w:rFonts w:ascii="Segoe UI" w:eastAsia="Times New Roman" w:hAnsi="Segoe UI" w:cs="Segoe UI"/>
          <w:szCs w:val="20"/>
        </w:rPr>
        <w:t>nowo nabyte</w:t>
      </w:r>
      <w:r w:rsidRPr="004D2D3F">
        <w:rPr>
          <w:rFonts w:ascii="Segoe UI" w:eastAsia="Times New Roman" w:hAnsi="Segoe UI" w:cs="Segoe UI"/>
          <w:szCs w:val="20"/>
        </w:rPr>
        <w:t xml:space="preserve"> mienie (z</w:t>
      </w:r>
      <w:r w:rsidR="0092542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dniem przejścia na Zamawiającego ryzyka związanego z jego posiadaniem) lub mienie którego wartość wzrosła w okresie ubezpieczenia. </w:t>
      </w:r>
    </w:p>
    <w:p w14:paraId="1721FD0C" w14:textId="1DB5F917" w:rsidR="004D2D3F" w:rsidRPr="004D2D3F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W przypadku, gdy wartość mienia w okresie ubezpieczenia ulegnie zmniejszeniu, Wykonawca dokona rozliczenia składki stosując odpowiednio zasady określone dla rozliczenia wzrostu wartości mienia. </w:t>
      </w:r>
    </w:p>
    <w:p w14:paraId="0DF57A5F" w14:textId="48C368DC" w:rsidR="004D2D3F" w:rsidRPr="00905CD6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905CD6">
        <w:rPr>
          <w:rFonts w:ascii="Segoe UI" w:eastAsia="Times New Roman" w:hAnsi="Segoe UI" w:cs="Segoe UI"/>
          <w:szCs w:val="20"/>
        </w:rPr>
        <w:t xml:space="preserve">Zamawiający zobowiązany jest zgłosić do Wykonawcy rozliczenie mienia w terminie </w:t>
      </w:r>
      <w:r w:rsidR="005D485D" w:rsidRPr="00905CD6">
        <w:rPr>
          <w:rFonts w:ascii="Segoe UI" w:eastAsia="Times New Roman" w:hAnsi="Segoe UI" w:cs="Segoe UI"/>
          <w:szCs w:val="20"/>
        </w:rPr>
        <w:t>30 dni od zakończenia danego okresu rozliczeniowego.</w:t>
      </w:r>
    </w:p>
    <w:p w14:paraId="1D644D27" w14:textId="5F4CCC6B" w:rsidR="004D2D3F" w:rsidRPr="004D2D3F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Łączna suma ubezpieczenia, uwzględniająca różnicę pomiędzy wzrostem wartości mienia a mieniem zlikwidowanym, nie może przekroczyć 120% sumy ubezpieczenia</w:t>
      </w:r>
      <w:r w:rsidR="00A05030">
        <w:rPr>
          <w:rFonts w:ascii="Segoe UI" w:eastAsia="Times New Roman" w:hAnsi="Segoe UI" w:cs="Segoe UI"/>
          <w:szCs w:val="20"/>
        </w:rPr>
        <w:t xml:space="preserve">, jednak nie więcej niż </w:t>
      </w:r>
      <w:r w:rsidR="0096218A">
        <w:rPr>
          <w:rFonts w:ascii="Segoe UI" w:eastAsia="Times New Roman" w:hAnsi="Segoe UI" w:cs="Segoe UI"/>
          <w:szCs w:val="20"/>
        </w:rPr>
        <w:t>1</w:t>
      </w:r>
      <w:r w:rsidR="00A05030">
        <w:rPr>
          <w:rFonts w:ascii="Segoe UI" w:eastAsia="Times New Roman" w:hAnsi="Segoe UI" w:cs="Segoe UI"/>
          <w:szCs w:val="20"/>
        </w:rPr>
        <w:t>0.000.000 zł.</w:t>
      </w:r>
    </w:p>
    <w:p w14:paraId="2BF0A550" w14:textId="20311BB9" w:rsidR="004D2D3F" w:rsidRPr="004D2D3F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W przypadku wzrostu wartości mienia ponad limit określony </w:t>
      </w:r>
      <w:r w:rsidR="00AF6A9B">
        <w:rPr>
          <w:rFonts w:ascii="Segoe UI" w:eastAsia="Times New Roman" w:hAnsi="Segoe UI" w:cs="Segoe UI"/>
          <w:szCs w:val="20"/>
        </w:rPr>
        <w:t>w Tabeli Limitów</w:t>
      </w:r>
      <w:r w:rsidR="00905CD6">
        <w:rPr>
          <w:rFonts w:ascii="Segoe UI" w:eastAsia="Times New Roman" w:hAnsi="Segoe UI" w:cs="Segoe UI"/>
          <w:szCs w:val="20"/>
        </w:rPr>
        <w:t xml:space="preserve">. </w:t>
      </w:r>
      <w:r w:rsidRPr="004D2D3F">
        <w:rPr>
          <w:rFonts w:ascii="Segoe UI" w:eastAsia="Times New Roman" w:hAnsi="Segoe UI" w:cs="Segoe UI"/>
          <w:szCs w:val="20"/>
        </w:rPr>
        <w:t>Wykonawca zapewnia ochronę ubezpieczeniową przez okres 30 dni roboczych licząc od dnia przejścia ryzyka związanego z posiadaniem tego mienia na Zamawiającego. W takim przypadku wymagane jest indywidualne zgłoszenie mienia do ubezpieczenia nie później niż przed upływem 30 dni roboczych licząc od dnia przejścia ryzyka związanego z</w:t>
      </w:r>
      <w:r w:rsidR="0092542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posiadaniem tego mienia na Zamawiającego. Z dniem następnym po przekazaniu informacji do Wykonawcy o przekroczeniu limitu, ulega on odnowieniu do pierwotnej wysokości. Zasada ta obowiązuje dla każdego okresu rozliczeniowego odrębnie. </w:t>
      </w:r>
    </w:p>
    <w:p w14:paraId="4A02C73A" w14:textId="49DFF164" w:rsidR="004D2D3F" w:rsidRDefault="004D2D3F" w:rsidP="008C453E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Przyjęto, że niezależnie od faktycznego terminu zmiany wartości mienia w</w:t>
      </w:r>
      <w:r w:rsidR="0092542F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danym okresie rozliczeniowym, jako podstawę do obliczenia wysokości dodatkowej składki lub jej zwrotu, uwzględniającą różnicę pomiędzy wzrostem wartości mienia a mieniem zlikwidowanym, przyjmuje się środek okresu rozliczeniowego. Składka naliczona będzie proporcjonalnie do</w:t>
      </w:r>
      <w:r w:rsidR="00BC6DFC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liczby dni, od środka okresu rozliczeniowego do</w:t>
      </w:r>
      <w:r w:rsidR="00BC6DFC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końca okresu ubezpieczenia.</w:t>
      </w:r>
      <w:r w:rsidRPr="004D2D3F" w:rsidDel="00CA5A49">
        <w:rPr>
          <w:rFonts w:ascii="Segoe UI" w:eastAsia="Times New Roman" w:hAnsi="Segoe UI" w:cs="Segoe UI"/>
          <w:szCs w:val="20"/>
        </w:rPr>
        <w:t xml:space="preserve"> </w:t>
      </w:r>
    </w:p>
    <w:p w14:paraId="5C14F5D1" w14:textId="77777777" w:rsidR="00306AFC" w:rsidRPr="004D2D3F" w:rsidRDefault="00306AFC" w:rsidP="00D45D1C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</w:rPr>
      </w:pPr>
    </w:p>
    <w:p w14:paraId="4778533B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>Klauzula – Dodatkowe ubezpieczenie kosztów zabezpieczenia mienia przed szkodą oraz kosztów ratownictwa</w:t>
      </w:r>
    </w:p>
    <w:p w14:paraId="6E1DC949" w14:textId="368856A2" w:rsidR="004D2D3F" w:rsidRPr="004D2D3F" w:rsidRDefault="004D2D3F" w:rsidP="008C453E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Wykonawca pokrywa do ustalonego limitu ponad sumę ubezpieczenia wszelkie dodatkowe, powyżej sumy ubezpieczenia, uzasadnione i</w:t>
      </w:r>
      <w:r w:rsidR="008C453E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udokumentowane koszty (w tym wynagrodzenie firmy restytucji mienia) poniesione przez Zamawiającego w celu zabezpieczenia mienia przed szkodą oraz koszty ratownictwa mające na celu zmniejszenie szkody, powstałe w związku ze zrealizowaniem się zdarzenia szkodowego </w:t>
      </w:r>
      <w:r w:rsidRPr="004D2D3F">
        <w:rPr>
          <w:rFonts w:ascii="Segoe UI" w:eastAsia="Times New Roman" w:hAnsi="Segoe UI" w:cs="Segoe UI"/>
          <w:szCs w:val="20"/>
        </w:rPr>
        <w:lastRenderedPageBreak/>
        <w:t xml:space="preserve">objętego pokryciem w ramach umowy ubezpieczenia, choćby działania te okazały się nieskuteczne. </w:t>
      </w:r>
    </w:p>
    <w:p w14:paraId="43D23C28" w14:textId="3801593E" w:rsidR="004D2D3F" w:rsidRDefault="004D2D3F" w:rsidP="008C453E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Limit odpowiedzialności: zgodny z Tabelą Limitów</w:t>
      </w:r>
    </w:p>
    <w:p w14:paraId="26C96090" w14:textId="77777777" w:rsidR="00AD2821" w:rsidRPr="008C453E" w:rsidRDefault="00AD2821" w:rsidP="00FA2820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735A9BD3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- ubezpieczenia zwiększonych kosztów działalności</w:t>
      </w:r>
    </w:p>
    <w:p w14:paraId="7618F0EC" w14:textId="1C5AE492" w:rsidR="004D2D3F" w:rsidRPr="004D2D3F" w:rsidRDefault="004D2D3F" w:rsidP="008C453E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Wykonawca pokryje udokumentowany wzrost kosztów działalności spowodowany ubezpieczoną szkodą rzeczową do wysokości określonej w</w:t>
      </w:r>
      <w:r w:rsidR="008C453E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>umowie ubezpieczenia. Pokrywane koszty to między innymi:</w:t>
      </w:r>
    </w:p>
    <w:p w14:paraId="35DF96EE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koszty pracy w godzinach nadliczbowych itp.,</w:t>
      </w:r>
    </w:p>
    <w:p w14:paraId="5DADF26A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koszty wynajęcia pomieszczeń zastępczych, </w:t>
      </w:r>
    </w:p>
    <w:p w14:paraId="7539B10F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koszty przeprowadzki,</w:t>
      </w:r>
    </w:p>
    <w:p w14:paraId="414A8383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koszty adaptacji wynajętych pomieszczeń zastępczych, zniszczonych obiektów,</w:t>
      </w:r>
    </w:p>
    <w:p w14:paraId="62A40431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koszty wynajęcia sprzętu,</w:t>
      </w:r>
    </w:p>
    <w:p w14:paraId="4941B034" w14:textId="77777777" w:rsidR="004D2D3F" w:rsidRPr="004D2D3F" w:rsidRDefault="004D2D3F" w:rsidP="008C453E">
      <w:pPr>
        <w:widowControl w:val="0"/>
        <w:numPr>
          <w:ilvl w:val="0"/>
          <w:numId w:val="2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koszty odtworzenia, osuszania, odgrzybiania, i inne dla przywrócenia dokumentacji </w:t>
      </w:r>
      <w:r w:rsidRPr="004D2D3F">
        <w:rPr>
          <w:rFonts w:ascii="Segoe UI" w:eastAsia="Times New Roman" w:hAnsi="Segoe UI" w:cs="Segoe UI"/>
          <w:szCs w:val="20"/>
        </w:rPr>
        <w:br/>
        <w:t>i archiwów przechowywanych w formie materialnej do stanu sprzed szkody oraz zabezpieczenia przed dalszą degradacją.</w:t>
      </w:r>
    </w:p>
    <w:p w14:paraId="7811A403" w14:textId="77777777" w:rsidR="004D2D3F" w:rsidRPr="004D2D3F" w:rsidRDefault="004D2D3F" w:rsidP="008C45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</w:p>
    <w:p w14:paraId="57CE0139" w14:textId="77777777" w:rsidR="004D2D3F" w:rsidRPr="004D2D3F" w:rsidRDefault="004D2D3F" w:rsidP="008C453E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Okres odszkodowawczy 6 miesięcy.</w:t>
      </w:r>
    </w:p>
    <w:p w14:paraId="65ADE45B" w14:textId="06133D10" w:rsidR="004D2D3F" w:rsidRPr="008C453E" w:rsidRDefault="004D2D3F" w:rsidP="00BC6DFC">
      <w:pPr>
        <w:widowControl w:val="0"/>
        <w:numPr>
          <w:ilvl w:val="0"/>
          <w:numId w:val="17"/>
        </w:numPr>
        <w:autoSpaceDE w:val="0"/>
        <w:autoSpaceDN w:val="0"/>
        <w:spacing w:after="120" w:line="276" w:lineRule="auto"/>
        <w:ind w:left="1775" w:right="567" w:hanging="35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Ubezpieczeniu podlegają koszty wynikające ze szkód wynikłych/spowodowanych i pokrytych zakresem ubezpieczenia majątku.</w:t>
      </w:r>
    </w:p>
    <w:p w14:paraId="5B1E6B6C" w14:textId="2B933B5D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Klauzula </w:t>
      </w:r>
      <w:r w:rsidRPr="004D2D3F">
        <w:rPr>
          <w:rFonts w:ascii="Segoe UI" w:eastAsia="Times New Roman" w:hAnsi="Segoe UI" w:cs="Segoe UI"/>
          <w:caps/>
          <w:szCs w:val="20"/>
        </w:rPr>
        <w:t xml:space="preserve"> –</w:t>
      </w:r>
      <w:r w:rsidRPr="004D2D3F">
        <w:rPr>
          <w:rFonts w:ascii="Segoe UI" w:eastAsia="Times New Roman" w:hAnsi="Segoe UI" w:cs="Segoe UI"/>
          <w:szCs w:val="20"/>
        </w:rPr>
        <w:t xml:space="preserve"> Koszty rzeczoznawców</w:t>
      </w:r>
    </w:p>
    <w:p w14:paraId="0059A522" w14:textId="77777777" w:rsidR="006E086B" w:rsidRDefault="004D2D3F" w:rsidP="00BC6DFC">
      <w:pPr>
        <w:spacing w:after="120" w:line="276" w:lineRule="auto"/>
        <w:ind w:left="1418" w:right="56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Wykonawca pokrywa do ustalonego limitu poniesione przez Zamawiającego konieczne, uzasadnione i udokumentowane koszty ekspertyz rzeczoznawców związane z ustaleniem zakresu i rozmiaru szkody do uzgodnionego limitu. </w:t>
      </w:r>
    </w:p>
    <w:p w14:paraId="4D769B4C" w14:textId="7BA5012C" w:rsidR="00984979" w:rsidRDefault="00984979" w:rsidP="00BC6DFC">
      <w:pPr>
        <w:spacing w:after="120" w:line="276" w:lineRule="auto"/>
        <w:ind w:left="1418" w:right="567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Przedmiotowe k</w:t>
      </w:r>
      <w:r w:rsidR="00592E06">
        <w:rPr>
          <w:rFonts w:ascii="Segoe UI" w:eastAsia="Times New Roman" w:hAnsi="Segoe UI" w:cs="Segoe UI"/>
          <w:szCs w:val="20"/>
        </w:rPr>
        <w:t xml:space="preserve">oszty ustalane są z uwzględnieniem </w:t>
      </w:r>
      <w:r>
        <w:rPr>
          <w:rFonts w:ascii="Segoe UI" w:eastAsia="Times New Roman" w:hAnsi="Segoe UI" w:cs="Segoe UI"/>
          <w:szCs w:val="20"/>
        </w:rPr>
        <w:t>wysokości średnich cen rynkowych obowiązujących w zakresie świadczenia tych usług.</w:t>
      </w:r>
    </w:p>
    <w:p w14:paraId="19544CC2" w14:textId="457C5285" w:rsidR="004D2D3F" w:rsidRPr="004D2D3F" w:rsidRDefault="004D2D3F" w:rsidP="00BC6DFC">
      <w:pPr>
        <w:spacing w:after="120" w:line="276" w:lineRule="auto"/>
        <w:ind w:left="1418" w:right="56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  <w:r w:rsidR="00BC6DFC">
        <w:rPr>
          <w:rFonts w:ascii="Segoe UI" w:eastAsia="Times New Roman" w:hAnsi="Segoe UI" w:cs="Segoe UI"/>
          <w:szCs w:val="20"/>
        </w:rPr>
        <w:t>.</w:t>
      </w:r>
    </w:p>
    <w:p w14:paraId="1C731AED" w14:textId="77777777" w:rsidR="008875C8" w:rsidRPr="00A17DFC" w:rsidRDefault="008875C8" w:rsidP="004A126B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</w:p>
    <w:p w14:paraId="62E94254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- Katastrofa budowlana</w:t>
      </w:r>
    </w:p>
    <w:p w14:paraId="29A26EDA" w14:textId="1555E949" w:rsidR="004D2D3F" w:rsidRDefault="004D2D3F" w:rsidP="008C453E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Wykonawca pokryje koszty związane z zaistniałą katastrofą budowlaną. Definicję katastrofy budowlanej przyjmuje się zgodnie z definicją ustawy z</w:t>
      </w:r>
      <w:r w:rsidR="009F1109">
        <w:rPr>
          <w:rFonts w:ascii="Segoe UI" w:eastAsia="Times New Roman" w:hAnsi="Segoe UI" w:cs="Segoe UI"/>
          <w:szCs w:val="20"/>
        </w:rPr>
        <w:t> </w:t>
      </w:r>
      <w:r w:rsidRPr="004D2D3F">
        <w:rPr>
          <w:rFonts w:ascii="Segoe UI" w:eastAsia="Times New Roman" w:hAnsi="Segoe UI" w:cs="Segoe UI"/>
          <w:szCs w:val="20"/>
        </w:rPr>
        <w:t xml:space="preserve">dnia 7 lipca 1994 r. Prawo Budowlane (tekst jednolity Dz. U. z 2019 r. 1186 z </w:t>
      </w:r>
      <w:proofErr w:type="spellStart"/>
      <w:r w:rsidRPr="004D2D3F">
        <w:rPr>
          <w:rFonts w:ascii="Segoe UI" w:eastAsia="Times New Roman" w:hAnsi="Segoe UI" w:cs="Segoe UI"/>
          <w:szCs w:val="20"/>
        </w:rPr>
        <w:t>późn</w:t>
      </w:r>
      <w:proofErr w:type="spellEnd"/>
      <w:r w:rsidRPr="004D2D3F">
        <w:rPr>
          <w:rFonts w:ascii="Segoe UI" w:eastAsia="Times New Roman" w:hAnsi="Segoe UI" w:cs="Segoe UI"/>
          <w:szCs w:val="20"/>
        </w:rPr>
        <w:t>. zm.).</w:t>
      </w:r>
    </w:p>
    <w:p w14:paraId="1BE34F2E" w14:textId="42CA0875" w:rsidR="008E07CB" w:rsidRPr="00746832" w:rsidRDefault="008E07CB" w:rsidP="008C453E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 xml:space="preserve">Niniejsza Klauzula nie obejmuje szkód </w:t>
      </w:r>
      <w:r w:rsidR="005A1EC3" w:rsidRPr="00746832">
        <w:rPr>
          <w:rFonts w:ascii="Segoe UI" w:eastAsia="Times New Roman" w:hAnsi="Segoe UI" w:cs="Segoe UI"/>
          <w:szCs w:val="20"/>
        </w:rPr>
        <w:t>w obiektach:</w:t>
      </w:r>
    </w:p>
    <w:p w14:paraId="5BB35A60" w14:textId="7D58221A" w:rsidR="005A1EC3" w:rsidRPr="00746832" w:rsidRDefault="005A1EC3" w:rsidP="004A126B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 xml:space="preserve">– nie posiadających odbioru końcowego robót dokonanego przez </w:t>
      </w:r>
      <w:r w:rsidR="00D54924" w:rsidRPr="00746832">
        <w:rPr>
          <w:rFonts w:ascii="Segoe UI" w:eastAsia="Times New Roman" w:hAnsi="Segoe UI" w:cs="Segoe UI"/>
          <w:szCs w:val="20"/>
        </w:rPr>
        <w:t>organ nadzoru budowlanego;</w:t>
      </w:r>
    </w:p>
    <w:p w14:paraId="392142A5" w14:textId="54400E68" w:rsidR="00D54924" w:rsidRPr="00746832" w:rsidRDefault="00D54924" w:rsidP="004A126B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 xml:space="preserve">– tymczasowych </w:t>
      </w:r>
      <w:r w:rsidR="00B92BF6" w:rsidRPr="00746832">
        <w:rPr>
          <w:rFonts w:ascii="Segoe UI" w:eastAsia="Times New Roman" w:hAnsi="Segoe UI" w:cs="Segoe UI"/>
          <w:szCs w:val="20"/>
        </w:rPr>
        <w:t>bądź dopuszczonych tymczasowo do użytkowania</w:t>
      </w:r>
      <w:r w:rsidR="00115541" w:rsidRPr="00746832">
        <w:rPr>
          <w:rFonts w:ascii="Segoe UI" w:eastAsia="Times New Roman" w:hAnsi="Segoe UI" w:cs="Segoe UI"/>
          <w:szCs w:val="20"/>
        </w:rPr>
        <w:t>;</w:t>
      </w:r>
    </w:p>
    <w:p w14:paraId="387581F3" w14:textId="35DD8FDF" w:rsidR="00115541" w:rsidRPr="00746832" w:rsidRDefault="00115541" w:rsidP="00115541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– użytkowanych niezgodnie z przeznaczeniem;</w:t>
      </w:r>
    </w:p>
    <w:p w14:paraId="0FE53109" w14:textId="22036F06" w:rsidR="00115541" w:rsidRPr="004D2D3F" w:rsidRDefault="00115541" w:rsidP="002A4C94">
      <w:pPr>
        <w:widowControl w:val="0"/>
        <w:autoSpaceDE w:val="0"/>
        <w:autoSpaceDN w:val="0"/>
        <w:spacing w:after="0" w:line="276" w:lineRule="auto"/>
        <w:ind w:left="1067" w:right="566" w:firstLine="708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– przeznaczonych do rozbi</w:t>
      </w:r>
      <w:r w:rsidR="002A4C94" w:rsidRPr="00746832">
        <w:rPr>
          <w:rFonts w:ascii="Segoe UI" w:eastAsia="Times New Roman" w:hAnsi="Segoe UI" w:cs="Segoe UI"/>
          <w:szCs w:val="20"/>
        </w:rPr>
        <w:t>ó</w:t>
      </w:r>
      <w:r w:rsidRPr="00746832">
        <w:rPr>
          <w:rFonts w:ascii="Segoe UI" w:eastAsia="Times New Roman" w:hAnsi="Segoe UI" w:cs="Segoe UI"/>
          <w:szCs w:val="20"/>
        </w:rPr>
        <w:t>rki.</w:t>
      </w:r>
    </w:p>
    <w:p w14:paraId="68450EC3" w14:textId="2E984290" w:rsidR="004D2D3F" w:rsidRPr="008C453E" w:rsidRDefault="004D2D3F" w:rsidP="00BC6DFC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1775" w:right="567" w:hanging="357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Limit odpowiedzialności: zgodny z Tabelą Limitów</w:t>
      </w:r>
    </w:p>
    <w:p w14:paraId="3C54338B" w14:textId="156EE0AD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</w:t>
      </w:r>
      <w:r w:rsidR="008C453E">
        <w:rPr>
          <w:rFonts w:ascii="Segoe UI" w:eastAsia="Times New Roman" w:hAnsi="Segoe UI" w:cs="Segoe UI"/>
          <w:szCs w:val="20"/>
        </w:rPr>
        <w:t xml:space="preserve"> </w:t>
      </w:r>
      <w:r w:rsidRPr="004D2D3F">
        <w:rPr>
          <w:rFonts w:ascii="Segoe UI" w:eastAsia="Times New Roman" w:hAnsi="Segoe UI" w:cs="Segoe UI"/>
          <w:szCs w:val="20"/>
        </w:rPr>
        <w:t xml:space="preserve">- </w:t>
      </w:r>
      <w:bookmarkStart w:id="7" w:name="_Hlk36505453"/>
      <w:r w:rsidRPr="004D2D3F">
        <w:rPr>
          <w:rFonts w:ascii="Segoe UI" w:eastAsia="Times New Roman" w:hAnsi="Segoe UI" w:cs="Segoe UI"/>
          <w:szCs w:val="20"/>
        </w:rPr>
        <w:t xml:space="preserve">Ubezpieczenie ryzyka strajku, rozruchów i zamieszek </w:t>
      </w:r>
      <w:r w:rsidRPr="004D2D3F">
        <w:rPr>
          <w:rFonts w:ascii="Segoe UI" w:eastAsia="Times New Roman" w:hAnsi="Segoe UI" w:cs="Segoe UI"/>
          <w:szCs w:val="20"/>
        </w:rPr>
        <w:lastRenderedPageBreak/>
        <w:t>społecznych</w:t>
      </w:r>
      <w:bookmarkEnd w:id="7"/>
      <w:r w:rsidRPr="004D2D3F">
        <w:rPr>
          <w:rFonts w:ascii="Segoe UI" w:eastAsia="Times New Roman" w:hAnsi="Segoe UI" w:cs="Segoe UI"/>
          <w:szCs w:val="20"/>
        </w:rPr>
        <w:t>.</w:t>
      </w:r>
    </w:p>
    <w:p w14:paraId="054A3A22" w14:textId="77777777" w:rsidR="004D2D3F" w:rsidRPr="004D2D3F" w:rsidRDefault="004D2D3F" w:rsidP="008C453E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Wykonawca pokrywa do ustalonego limitu szkody powstałe w wyniku zdarzeń określonych w umowie ubezpieczenia a powstałe w czasie trwania: strajku, zamieszek i rozruchów społecznych.</w:t>
      </w:r>
    </w:p>
    <w:p w14:paraId="0BA4EDA4" w14:textId="77777777" w:rsidR="004D2D3F" w:rsidRPr="004D2D3F" w:rsidRDefault="004D2D3F" w:rsidP="008C453E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Ubezpieczenie nie obejmuje szkód powstałych wskutek lub mających pośredni lub bezpośredni związek z następującymi zdarzeniami:</w:t>
      </w:r>
    </w:p>
    <w:p w14:paraId="513D6466" w14:textId="66137D70" w:rsidR="004D2D3F" w:rsidRPr="004D2D3F" w:rsidRDefault="004D2D3F" w:rsidP="008C453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wojna, inwazja, działanie nieprzyjacielskie, działania wojenne (niezależnie od tego, czy wojna została wypowiedziana, czy nie), wojna domowa</w:t>
      </w:r>
      <w:r w:rsidR="008C453E">
        <w:rPr>
          <w:rFonts w:ascii="Segoe UI" w:eastAsia="Times New Roman" w:hAnsi="Segoe UI" w:cs="Segoe UI"/>
          <w:szCs w:val="20"/>
        </w:rPr>
        <w:t>,</w:t>
      </w:r>
    </w:p>
    <w:p w14:paraId="3B418342" w14:textId="405C02FA" w:rsidR="004D2D3F" w:rsidRPr="004D2D3F" w:rsidRDefault="004D2D3F" w:rsidP="008C453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bunt, zamieszki społeczne o charakterze powstania powszechnego, powstanie zbrojne, rebelia, rewolucja, działanie władzy wojskowej lub uzurpowanej</w:t>
      </w:r>
      <w:r w:rsidR="008C453E">
        <w:rPr>
          <w:rFonts w:ascii="Segoe UI" w:eastAsia="Times New Roman" w:hAnsi="Segoe UI" w:cs="Segoe UI"/>
          <w:szCs w:val="20"/>
        </w:rPr>
        <w:t>,</w:t>
      </w:r>
    </w:p>
    <w:p w14:paraId="5B554B86" w14:textId="7236F61B" w:rsidR="004D2D3F" w:rsidRPr="004D2D3F" w:rsidRDefault="004D2D3F" w:rsidP="008C453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działanie osób skierowane przeciwko mieniu z pobudek politycznych lub ideologicznych skierowane przeciwko społeczeństwu z zamiarem jego zastraszenia</w:t>
      </w:r>
      <w:r w:rsidR="008C453E">
        <w:rPr>
          <w:rFonts w:ascii="Segoe UI" w:eastAsia="Times New Roman" w:hAnsi="Segoe UI" w:cs="Segoe UI"/>
          <w:szCs w:val="20"/>
        </w:rPr>
        <w:t>,</w:t>
      </w:r>
    </w:p>
    <w:p w14:paraId="6467529D" w14:textId="3D2E677A" w:rsidR="004D2D3F" w:rsidRDefault="004D2D3F" w:rsidP="00BC6DFC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775" w:hanging="357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  <w:r w:rsidR="008C453E">
        <w:rPr>
          <w:rFonts w:ascii="Segoe UI" w:eastAsia="Times New Roman" w:hAnsi="Segoe UI" w:cs="Segoe UI"/>
          <w:szCs w:val="20"/>
        </w:rPr>
        <w:t>.</w:t>
      </w:r>
    </w:p>
    <w:p w14:paraId="6AD93284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bookmarkStart w:id="8" w:name="_Hlk36505411"/>
      <w:r w:rsidRPr="004D2D3F">
        <w:rPr>
          <w:rFonts w:ascii="Segoe UI" w:eastAsia="Times New Roman" w:hAnsi="Segoe UI" w:cs="Segoe UI"/>
          <w:szCs w:val="20"/>
        </w:rPr>
        <w:t xml:space="preserve">Klauzula – </w:t>
      </w:r>
      <w:bookmarkStart w:id="9" w:name="_Hlk36574553"/>
      <w:r w:rsidRPr="004D2D3F">
        <w:rPr>
          <w:rFonts w:ascii="Segoe UI" w:eastAsia="Times New Roman" w:hAnsi="Segoe UI" w:cs="Segoe UI"/>
          <w:szCs w:val="20"/>
        </w:rPr>
        <w:t>Ubezpieczenie ryzyka terroryzmu</w:t>
      </w:r>
      <w:bookmarkEnd w:id="9"/>
    </w:p>
    <w:bookmarkEnd w:id="8"/>
    <w:p w14:paraId="2973D7DB" w14:textId="77777777" w:rsidR="004D2D3F" w:rsidRPr="004D2D3F" w:rsidRDefault="004D2D3F" w:rsidP="008C453E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Wykonawca pokrywa do ustalonego limitu szkody powstałe w wyniku zrealizowania się zdarzenia objętego umową ubezpieczenia a powstałą w następstwie aktów terrorystycznych,</w:t>
      </w:r>
    </w:p>
    <w:p w14:paraId="5C2CC798" w14:textId="77777777" w:rsidR="004D2D3F" w:rsidRPr="004D2D3F" w:rsidRDefault="004D2D3F" w:rsidP="008C453E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Przez akty terrorystyczne rozumie się działanie osoby lub osób w celu zastraszenia ludności i dezorganizacji życia publicznego przy użyciu przemocy, skierowane przeciwko społeczeństwu i/lub legalnej władzy dla osiągnięcia celów politycznych lub społecznych. </w:t>
      </w:r>
    </w:p>
    <w:p w14:paraId="3CF206A8" w14:textId="277CCC35" w:rsidR="004D2D3F" w:rsidRDefault="004D2D3F" w:rsidP="008C453E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W ramach klauzuli pokrywane są koszty związane z przeprowadzeniem ewakuacji wskutek podejrzenia zagrożenia atakiem terrorystycznym, także wtedy jeżeli okazały się bezpodstawne. </w:t>
      </w:r>
    </w:p>
    <w:p w14:paraId="79B2E118" w14:textId="4F50474C" w:rsidR="00115541" w:rsidRPr="00746832" w:rsidRDefault="00115541" w:rsidP="008C453E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 xml:space="preserve">Klauzula nie obejmuje </w:t>
      </w:r>
      <w:proofErr w:type="spellStart"/>
      <w:r w:rsidR="00BB16BA" w:rsidRPr="00746832">
        <w:rPr>
          <w:rFonts w:ascii="Segoe UI" w:eastAsia="Times New Roman" w:hAnsi="Segoe UI" w:cs="Segoe UI"/>
          <w:szCs w:val="20"/>
        </w:rPr>
        <w:t>ryzyk</w:t>
      </w:r>
      <w:proofErr w:type="spellEnd"/>
      <w:r w:rsidR="00BB16BA" w:rsidRPr="00746832">
        <w:rPr>
          <w:rFonts w:ascii="Segoe UI" w:eastAsia="Times New Roman" w:hAnsi="Segoe UI" w:cs="Segoe UI"/>
          <w:szCs w:val="20"/>
        </w:rPr>
        <w:t xml:space="preserve"> cybernetycznych.</w:t>
      </w:r>
    </w:p>
    <w:p w14:paraId="20E3CED7" w14:textId="6B5AC30C" w:rsidR="004D2D3F" w:rsidRDefault="004D2D3F" w:rsidP="00BC6DFC">
      <w:pPr>
        <w:widowControl w:val="0"/>
        <w:numPr>
          <w:ilvl w:val="0"/>
          <w:numId w:val="21"/>
        </w:numPr>
        <w:autoSpaceDE w:val="0"/>
        <w:autoSpaceDN w:val="0"/>
        <w:spacing w:after="120" w:line="276" w:lineRule="auto"/>
        <w:ind w:left="1775" w:right="567" w:hanging="357"/>
        <w:jc w:val="both"/>
        <w:rPr>
          <w:rFonts w:ascii="Segoe UI" w:eastAsia="Times New Roman" w:hAnsi="Segoe UI" w:cs="Segoe UI"/>
          <w:szCs w:val="20"/>
        </w:rPr>
      </w:pPr>
      <w:bookmarkStart w:id="10" w:name="_Hlk37115907"/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  <w:bookmarkEnd w:id="10"/>
      <w:r w:rsidR="00BC6DFC">
        <w:rPr>
          <w:rFonts w:ascii="Segoe UI" w:eastAsia="Times New Roman" w:hAnsi="Segoe UI" w:cs="Segoe UI"/>
          <w:szCs w:val="20"/>
        </w:rPr>
        <w:t>.</w:t>
      </w:r>
    </w:p>
    <w:p w14:paraId="5E82C7E0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Klauzula zalania przez nieszczelność</w:t>
      </w:r>
    </w:p>
    <w:p w14:paraId="5A3AB7F0" w14:textId="41CDEF17" w:rsidR="004D2D3F" w:rsidRPr="004D2D3F" w:rsidRDefault="004D2D3F" w:rsidP="004D2D3F">
      <w:pPr>
        <w:widowControl w:val="0"/>
        <w:autoSpaceDE w:val="0"/>
        <w:autoSpaceDN w:val="0"/>
        <w:spacing w:after="0" w:line="240" w:lineRule="auto"/>
        <w:ind w:left="1418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Ubezpieczenie obejmuje szkody powstałe na skutek zalania powstałego przez nieszczelny dach, rynny i rury spustowe, nieszczelność otworów okiennych i</w:t>
      </w:r>
      <w:r w:rsidR="008C453E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drzwiowych. </w:t>
      </w:r>
    </w:p>
    <w:p w14:paraId="74D0BC8A" w14:textId="1C290BD2" w:rsidR="004D2D3F" w:rsidRPr="004D2D3F" w:rsidRDefault="004D2D3F" w:rsidP="00BC6DFC">
      <w:pPr>
        <w:widowControl w:val="0"/>
        <w:autoSpaceDE w:val="0"/>
        <w:autoSpaceDN w:val="0"/>
        <w:spacing w:after="120" w:line="240" w:lineRule="auto"/>
        <w:ind w:left="1418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  <w:r w:rsidR="00BC6DFC">
        <w:rPr>
          <w:rFonts w:ascii="Segoe UI" w:eastAsia="Times New Roman" w:hAnsi="Segoe UI" w:cs="Segoe UI"/>
          <w:szCs w:val="20"/>
        </w:rPr>
        <w:t>.</w:t>
      </w:r>
    </w:p>
    <w:p w14:paraId="06DDF758" w14:textId="706A49DB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 xml:space="preserve">Klauzula ubezpieczenia maszyn i urządzeń od awarii i uszkodzeń </w:t>
      </w:r>
      <w:r w:rsidR="00412EDD">
        <w:rPr>
          <w:rFonts w:ascii="Segoe UI" w:eastAsia="Times New Roman" w:hAnsi="Segoe UI" w:cs="Segoe UI"/>
          <w:szCs w:val="20"/>
          <w:lang w:eastAsia="pl-PL"/>
        </w:rPr>
        <w:t>oraz</w:t>
      </w:r>
      <w:r w:rsidR="0032090A">
        <w:rPr>
          <w:rFonts w:ascii="Segoe UI" w:eastAsia="Times New Roman" w:hAnsi="Segoe UI" w:cs="Segoe UI"/>
          <w:szCs w:val="20"/>
          <w:lang w:eastAsia="pl-PL"/>
        </w:rPr>
        <w:t> </w:t>
      </w:r>
      <w:r w:rsidR="00412EDD">
        <w:rPr>
          <w:rFonts w:ascii="Segoe UI" w:eastAsia="Times New Roman" w:hAnsi="Segoe UI" w:cs="Segoe UI"/>
          <w:szCs w:val="20"/>
          <w:lang w:eastAsia="pl-PL"/>
        </w:rPr>
        <w:t>od</w:t>
      </w:r>
      <w:r w:rsidR="0032090A">
        <w:rPr>
          <w:rFonts w:ascii="Segoe UI" w:eastAsia="Times New Roman" w:hAnsi="Segoe UI" w:cs="Segoe UI"/>
          <w:szCs w:val="20"/>
          <w:lang w:eastAsia="pl-PL"/>
        </w:rPr>
        <w:t> </w:t>
      </w:r>
      <w:r w:rsidR="00412EDD">
        <w:rPr>
          <w:rFonts w:ascii="Segoe UI" w:eastAsia="Times New Roman" w:hAnsi="Segoe UI" w:cs="Segoe UI"/>
          <w:szCs w:val="20"/>
          <w:lang w:eastAsia="pl-PL"/>
        </w:rPr>
        <w:t>szkó</w:t>
      </w:r>
      <w:r w:rsidR="00FF7049">
        <w:rPr>
          <w:rFonts w:ascii="Segoe UI" w:eastAsia="Times New Roman" w:hAnsi="Segoe UI" w:cs="Segoe UI"/>
          <w:szCs w:val="20"/>
          <w:lang w:eastAsia="pl-PL"/>
        </w:rPr>
        <w:t>d elektrycznych</w:t>
      </w:r>
    </w:p>
    <w:p w14:paraId="369126B2" w14:textId="16BBD4E2" w:rsidR="00311F36" w:rsidRDefault="004D2D3F" w:rsidP="008C453E">
      <w:pPr>
        <w:widowControl w:val="0"/>
        <w:numPr>
          <w:ilvl w:val="0"/>
          <w:numId w:val="2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Zakres ubezpieczenia w odniesieniu do ubezpieczonych zainstalowanych maszyn</w:t>
      </w:r>
      <w:r w:rsidR="0087578D">
        <w:rPr>
          <w:rFonts w:ascii="Segoe UI" w:eastAsia="Times New Roman" w:hAnsi="Segoe UI" w:cs="Segoe UI"/>
          <w:szCs w:val="20"/>
        </w:rPr>
        <w:t xml:space="preserve">, </w:t>
      </w:r>
      <w:r w:rsidRPr="004D2D3F">
        <w:rPr>
          <w:rFonts w:ascii="Segoe UI" w:eastAsia="Times New Roman" w:hAnsi="Segoe UI" w:cs="Segoe UI"/>
          <w:szCs w:val="20"/>
        </w:rPr>
        <w:t>urządz</w:t>
      </w:r>
      <w:r w:rsidR="0087578D">
        <w:rPr>
          <w:rFonts w:ascii="Segoe UI" w:eastAsia="Times New Roman" w:hAnsi="Segoe UI" w:cs="Segoe UI"/>
          <w:szCs w:val="20"/>
        </w:rPr>
        <w:t>eń lub aparatów</w:t>
      </w:r>
      <w:r w:rsidRPr="004D2D3F">
        <w:rPr>
          <w:rFonts w:ascii="Segoe UI" w:eastAsia="Times New Roman" w:hAnsi="Segoe UI" w:cs="Segoe UI"/>
          <w:szCs w:val="20"/>
        </w:rPr>
        <w:t xml:space="preserve"> (w tym wind), rozszerza się o</w:t>
      </w:r>
      <w:r w:rsidR="00311F36">
        <w:rPr>
          <w:rFonts w:ascii="Segoe UI" w:eastAsia="Times New Roman" w:hAnsi="Segoe UI" w:cs="Segoe UI"/>
          <w:szCs w:val="20"/>
        </w:rPr>
        <w:t>:</w:t>
      </w:r>
    </w:p>
    <w:p w14:paraId="0256ECC6" w14:textId="3EE2ACBB" w:rsidR="00A24472" w:rsidRDefault="004D2D3F" w:rsidP="00D45D1C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szkody powstałe wskutek awarii i uszkodzeń</w:t>
      </w:r>
      <w:r w:rsidR="004366CA">
        <w:rPr>
          <w:rFonts w:ascii="Segoe UI" w:eastAsia="Times New Roman" w:hAnsi="Segoe UI" w:cs="Segoe UI"/>
          <w:szCs w:val="20"/>
        </w:rPr>
        <w:t>,</w:t>
      </w:r>
    </w:p>
    <w:p w14:paraId="75E46A3A" w14:textId="1694124B" w:rsidR="00B93B8B" w:rsidRDefault="00BC4D4F" w:rsidP="00D45D1C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szk</w:t>
      </w:r>
      <w:r w:rsidR="00A24472">
        <w:rPr>
          <w:rFonts w:ascii="Segoe UI" w:eastAsia="Times New Roman" w:hAnsi="Segoe UI" w:cs="Segoe UI"/>
          <w:szCs w:val="20"/>
        </w:rPr>
        <w:t>o</w:t>
      </w:r>
      <w:r>
        <w:rPr>
          <w:rFonts w:ascii="Segoe UI" w:eastAsia="Times New Roman" w:hAnsi="Segoe UI" w:cs="Segoe UI"/>
          <w:szCs w:val="20"/>
        </w:rPr>
        <w:t>d</w:t>
      </w:r>
      <w:r w:rsidR="00A24472">
        <w:rPr>
          <w:rFonts w:ascii="Segoe UI" w:eastAsia="Times New Roman" w:hAnsi="Segoe UI" w:cs="Segoe UI"/>
          <w:szCs w:val="20"/>
        </w:rPr>
        <w:t>y</w:t>
      </w:r>
      <w:r>
        <w:rPr>
          <w:rFonts w:ascii="Segoe UI" w:eastAsia="Times New Roman" w:hAnsi="Segoe UI" w:cs="Segoe UI"/>
          <w:szCs w:val="20"/>
        </w:rPr>
        <w:t xml:space="preserve"> elektryczn</w:t>
      </w:r>
      <w:r w:rsidR="00A24472">
        <w:rPr>
          <w:rFonts w:ascii="Segoe UI" w:eastAsia="Times New Roman" w:hAnsi="Segoe UI" w:cs="Segoe UI"/>
          <w:szCs w:val="20"/>
        </w:rPr>
        <w:t>e</w:t>
      </w:r>
      <w:r w:rsidR="004366CA">
        <w:rPr>
          <w:rFonts w:ascii="Segoe UI" w:eastAsia="Times New Roman" w:hAnsi="Segoe UI" w:cs="Segoe UI"/>
          <w:szCs w:val="20"/>
        </w:rPr>
        <w:t>.</w:t>
      </w:r>
    </w:p>
    <w:p w14:paraId="0C668C2A" w14:textId="7E2674B3" w:rsidR="004D2D3F" w:rsidRDefault="004D2D3F" w:rsidP="008C453E">
      <w:pPr>
        <w:widowControl w:val="0"/>
        <w:numPr>
          <w:ilvl w:val="0"/>
          <w:numId w:val="2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Za awarie i uszkodzenie uważa się stan techniczny maszyny, urządzenia lub aparatu, który ogranicza lub uniemożliwia jego dalszą eksploatację, oraz zmniejsza sprawność maszyny, urządzenia lub aparatu ograniczając jej zdolność do działania.</w:t>
      </w:r>
      <w:r w:rsidR="0042739F">
        <w:rPr>
          <w:rFonts w:ascii="Segoe UI" w:eastAsia="Times New Roman" w:hAnsi="Segoe UI" w:cs="Segoe UI"/>
          <w:szCs w:val="20"/>
        </w:rPr>
        <w:t xml:space="preserve"> Ubezpieczeniem </w:t>
      </w:r>
      <w:r w:rsidR="006C7443">
        <w:rPr>
          <w:rFonts w:ascii="Segoe UI" w:eastAsia="Times New Roman" w:hAnsi="Segoe UI" w:cs="Segoe UI"/>
          <w:szCs w:val="20"/>
        </w:rPr>
        <w:t>objęte są w szczególności następujące szkody:</w:t>
      </w:r>
    </w:p>
    <w:p w14:paraId="245805B1" w14:textId="417E3185" w:rsidR="006C7443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lastRenderedPageBreak/>
        <w:t>błędy projektowe, konstrukcyjne lub wadliwe wykonanie maszyny przez producenta, wadliwy materiał, z którego wykonana jest maszyna,</w:t>
      </w:r>
    </w:p>
    <w:p w14:paraId="7D16F68A" w14:textId="1C1EF0D1" w:rsidR="00F04DDF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błędy montażowe popełnione w czasie montażu maszyny na stanowisku pracy,</w:t>
      </w:r>
    </w:p>
    <w:p w14:paraId="412382CC" w14:textId="4E2812DC" w:rsidR="00AE24E8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błędy w obsłudze maszyn spowodowane brakiem wprawy i doświadczenia osób obsługujących maszyny,</w:t>
      </w:r>
    </w:p>
    <w:p w14:paraId="1449C85F" w14:textId="54C7689F" w:rsidR="00D435DC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celowe zniszczenie przez osoby trzecie,</w:t>
      </w:r>
    </w:p>
    <w:p w14:paraId="41C74745" w14:textId="1D258D04" w:rsidR="00D435DC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działanie sił odśrodkowych,</w:t>
      </w:r>
    </w:p>
    <w:p w14:paraId="5D6ACC10" w14:textId="317CF47C" w:rsidR="000B27AC" w:rsidRDefault="00443A8B" w:rsidP="006C7443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niedobó</w:t>
      </w:r>
      <w:r w:rsidR="00874B1E">
        <w:rPr>
          <w:rFonts w:ascii="Segoe UI" w:eastAsia="Times New Roman" w:hAnsi="Segoe UI" w:cs="Segoe UI"/>
          <w:szCs w:val="20"/>
        </w:rPr>
        <w:t>r</w:t>
      </w:r>
      <w:r>
        <w:rPr>
          <w:rFonts w:ascii="Segoe UI" w:eastAsia="Times New Roman" w:hAnsi="Segoe UI" w:cs="Segoe UI"/>
          <w:szCs w:val="20"/>
        </w:rPr>
        <w:t xml:space="preserve"> wody w kotłach,</w:t>
      </w:r>
    </w:p>
    <w:p w14:paraId="73079DC3" w14:textId="271208EA" w:rsidR="000B27AC" w:rsidRDefault="00443A8B" w:rsidP="00D45D1C">
      <w:pPr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nadmierne ciśnienie lub temperatura wewnątrz maszyny, implozja.</w:t>
      </w:r>
    </w:p>
    <w:p w14:paraId="0042C3CD" w14:textId="63C1A4A3" w:rsidR="00115835" w:rsidRPr="004D2D3F" w:rsidRDefault="00B93B8B" w:rsidP="00D45D1C">
      <w:pPr>
        <w:widowControl w:val="0"/>
        <w:numPr>
          <w:ilvl w:val="0"/>
          <w:numId w:val="2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>
        <w:rPr>
          <w:rFonts w:ascii="Segoe UI" w:eastAsia="Times New Roman" w:hAnsi="Segoe UI" w:cs="Segoe UI"/>
          <w:szCs w:val="20"/>
        </w:rPr>
        <w:t>Za szkody elektryczne</w:t>
      </w:r>
      <w:r w:rsidR="00115835">
        <w:rPr>
          <w:rFonts w:ascii="Segoe UI" w:eastAsia="Times New Roman" w:hAnsi="Segoe UI" w:cs="Segoe UI"/>
          <w:szCs w:val="20"/>
        </w:rPr>
        <w:t xml:space="preserve"> </w:t>
      </w:r>
      <w:r w:rsidR="00840CEE">
        <w:rPr>
          <w:rFonts w:ascii="Segoe UI" w:eastAsia="Times New Roman" w:hAnsi="Segoe UI" w:cs="Segoe UI"/>
          <w:szCs w:val="20"/>
        </w:rPr>
        <w:t>uważa</w:t>
      </w:r>
      <w:r w:rsidR="00115835" w:rsidRPr="004D2D3F">
        <w:rPr>
          <w:rFonts w:ascii="Segoe UI" w:eastAsia="Times New Roman" w:hAnsi="Segoe UI" w:cs="Segoe UI"/>
          <w:szCs w:val="20"/>
        </w:rPr>
        <w:t xml:space="preserve"> się uszkodzenie </w:t>
      </w:r>
      <w:r w:rsidR="00840CEE" w:rsidRPr="00840CEE">
        <w:rPr>
          <w:rFonts w:ascii="Segoe UI" w:eastAsia="Times New Roman" w:hAnsi="Segoe UI" w:cs="Segoe UI"/>
          <w:szCs w:val="20"/>
        </w:rPr>
        <w:t>maszyny, urządzenia lub</w:t>
      </w:r>
      <w:r w:rsidR="0082588B">
        <w:rPr>
          <w:rFonts w:ascii="Segoe UI" w:eastAsia="Times New Roman" w:hAnsi="Segoe UI" w:cs="Segoe UI"/>
          <w:szCs w:val="20"/>
        </w:rPr>
        <w:t> </w:t>
      </w:r>
      <w:r w:rsidR="00840CEE" w:rsidRPr="00840CEE">
        <w:rPr>
          <w:rFonts w:ascii="Segoe UI" w:eastAsia="Times New Roman" w:hAnsi="Segoe UI" w:cs="Segoe UI"/>
          <w:szCs w:val="20"/>
        </w:rPr>
        <w:t>aparatu</w:t>
      </w:r>
      <w:r w:rsidR="00115835" w:rsidRPr="004D2D3F">
        <w:rPr>
          <w:rFonts w:ascii="Segoe UI" w:eastAsia="Times New Roman" w:hAnsi="Segoe UI" w:cs="Segoe UI"/>
          <w:szCs w:val="20"/>
        </w:rPr>
        <w:t xml:space="preserve"> uniemożliwiające jej prawidłowe funkcjonowanie </w:t>
      </w:r>
      <w:r w:rsidR="00DF6A1C">
        <w:rPr>
          <w:rFonts w:ascii="Segoe UI" w:eastAsia="Times New Roman" w:hAnsi="Segoe UI" w:cs="Segoe UI"/>
          <w:szCs w:val="20"/>
        </w:rPr>
        <w:t xml:space="preserve">m.in. </w:t>
      </w:r>
      <w:r w:rsidR="00115835" w:rsidRPr="004D2D3F">
        <w:rPr>
          <w:rFonts w:ascii="Segoe UI" w:eastAsia="Times New Roman" w:hAnsi="Segoe UI" w:cs="Segoe UI"/>
          <w:szCs w:val="20"/>
        </w:rPr>
        <w:t>wskutek:</w:t>
      </w:r>
    </w:p>
    <w:p w14:paraId="1C5E4280" w14:textId="77777777" w:rsidR="00115835" w:rsidRPr="004D2D3F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niezadziałania prawidłowo dobranych zabezpieczeń zwarciowych, przeciążeniowych lub zamkowych,</w:t>
      </w:r>
    </w:p>
    <w:p w14:paraId="6729F6B9" w14:textId="77777777" w:rsidR="00115835" w:rsidRPr="004D2D3F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zmiany napięcia zasilania,</w:t>
      </w:r>
    </w:p>
    <w:p w14:paraId="4FEB17B5" w14:textId="77777777" w:rsidR="00115835" w:rsidRPr="004D2D3F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zmiany wartości częstotliwości prądu elektrycznego, powstałej w</w:t>
      </w:r>
      <w:r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wyniku awarii,</w:t>
      </w:r>
    </w:p>
    <w:p w14:paraId="08F9684E" w14:textId="77777777" w:rsidR="00115835" w:rsidRPr="004D2D3F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uszkodzenia izolacji,</w:t>
      </w:r>
    </w:p>
    <w:p w14:paraId="63231AE0" w14:textId="77777777" w:rsidR="00115835" w:rsidRPr="004D2D3F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zwarcia,</w:t>
      </w:r>
    </w:p>
    <w:p w14:paraId="6F489F3F" w14:textId="40BA5B12" w:rsidR="00B93B8B" w:rsidRPr="00D45D1C" w:rsidRDefault="00115835" w:rsidP="00D45D1C">
      <w:pPr>
        <w:widowControl w:val="0"/>
        <w:numPr>
          <w:ilvl w:val="0"/>
          <w:numId w:val="3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zaniku napięcia jednej lub więcej faz.</w:t>
      </w:r>
    </w:p>
    <w:p w14:paraId="551BECA4" w14:textId="77777777" w:rsidR="004D2D3F" w:rsidRPr="004D2D3F" w:rsidRDefault="004D2D3F" w:rsidP="008C453E">
      <w:pPr>
        <w:widowControl w:val="0"/>
        <w:numPr>
          <w:ilvl w:val="0"/>
          <w:numId w:val="2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Nowo zainstalowane maszyny i urządzenia mogą zostać objęte ubezpieczeniem po pozytywnym zakończeniu prób eksploatacyjnych.</w:t>
      </w:r>
    </w:p>
    <w:p w14:paraId="2B523110" w14:textId="56D464D2" w:rsidR="004D2D3F" w:rsidRPr="004D2D3F" w:rsidRDefault="004D2D3F" w:rsidP="008C453E">
      <w:pPr>
        <w:widowControl w:val="0"/>
        <w:numPr>
          <w:ilvl w:val="0"/>
          <w:numId w:val="2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bookmarkStart w:id="11" w:name="_Hlk36501810"/>
      <w:r w:rsidRPr="004D2D3F">
        <w:rPr>
          <w:rFonts w:ascii="Segoe UI" w:eastAsia="Times New Roman" w:hAnsi="Segoe UI" w:cs="Segoe UI"/>
          <w:szCs w:val="20"/>
        </w:rPr>
        <w:t>Ochrona ubezpieczeniowa nie obejmuje szkód:</w:t>
      </w:r>
    </w:p>
    <w:bookmarkEnd w:id="11"/>
    <w:p w14:paraId="0B30F25B" w14:textId="77777777" w:rsidR="004D2D3F" w:rsidRPr="004D2D3F" w:rsidRDefault="004D2D3F" w:rsidP="008C453E">
      <w:pPr>
        <w:widowControl w:val="0"/>
        <w:numPr>
          <w:ilvl w:val="1"/>
          <w:numId w:val="2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za które na mocy przepisów prawa lub postanowień umowy odpowiedzialny jest producent, sprzedawca lub zewnętrzny warsztat naprawczy, o ile ponosi odpowiedzialność,</w:t>
      </w:r>
    </w:p>
    <w:p w14:paraId="6FCE41BB" w14:textId="77777777" w:rsidR="004D2D3F" w:rsidRPr="004D2D3F" w:rsidRDefault="004D2D3F" w:rsidP="008C453E">
      <w:pPr>
        <w:widowControl w:val="0"/>
        <w:numPr>
          <w:ilvl w:val="1"/>
          <w:numId w:val="2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powstałych w wyniku naturalnego zużycia albo długotrwałej degeneracji właściwości użytkowanych maszyn i urządzeń, w tym wskutek kawitacji, erozji, korozji lub starzenia się izolacji,</w:t>
      </w:r>
    </w:p>
    <w:p w14:paraId="56BC975F" w14:textId="77777777" w:rsidR="004D2D3F" w:rsidRPr="004D2D3F" w:rsidRDefault="004D2D3F" w:rsidP="008C453E">
      <w:pPr>
        <w:widowControl w:val="0"/>
        <w:numPr>
          <w:ilvl w:val="1"/>
          <w:numId w:val="27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spowodowanych wadami lub uszkodzeniami istniejącymi w chwili zawarcia umowy ubezpieczenia, o których Zamawiający wiedział lub przy zachowaniu należytej staranności mógł się dowiedzieć.</w:t>
      </w:r>
    </w:p>
    <w:p w14:paraId="79554942" w14:textId="6643466E" w:rsidR="004D2D3F" w:rsidRDefault="004D2D3F" w:rsidP="00BC6DFC">
      <w:pPr>
        <w:widowControl w:val="0"/>
        <w:numPr>
          <w:ilvl w:val="0"/>
          <w:numId w:val="27"/>
        </w:numPr>
        <w:autoSpaceDE w:val="0"/>
        <w:autoSpaceDN w:val="0"/>
        <w:spacing w:after="120" w:line="276" w:lineRule="auto"/>
        <w:ind w:left="1775" w:right="567" w:hanging="35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Limit odpowiedzialności: zgodny z Tabelą Limitów</w:t>
      </w:r>
      <w:r w:rsidR="00BC6DFC">
        <w:rPr>
          <w:rFonts w:ascii="Segoe UI" w:eastAsia="Times New Roman" w:hAnsi="Segoe UI" w:cs="Segoe UI"/>
          <w:szCs w:val="20"/>
        </w:rPr>
        <w:t>.</w:t>
      </w:r>
    </w:p>
    <w:p w14:paraId="4AECF3FB" w14:textId="77777777" w:rsidR="00F11417" w:rsidRDefault="00335CA2" w:rsidP="00FA2820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 xml:space="preserve">Klauzula ubezpieczenia </w:t>
      </w:r>
      <w:r w:rsidR="00BA776B" w:rsidRPr="00BA776B">
        <w:rPr>
          <w:rFonts w:ascii="Segoe UI" w:eastAsia="Times New Roman" w:hAnsi="Segoe UI" w:cs="Segoe UI"/>
          <w:szCs w:val="20"/>
          <w:lang w:eastAsia="pl-PL"/>
        </w:rPr>
        <w:t>maszyn</w:t>
      </w:r>
      <w:r w:rsidR="00BA776B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="00BA776B" w:rsidRPr="00BA776B">
        <w:rPr>
          <w:rFonts w:ascii="Segoe UI" w:eastAsia="Times New Roman" w:hAnsi="Segoe UI" w:cs="Segoe UI"/>
          <w:szCs w:val="20"/>
          <w:lang w:eastAsia="pl-PL"/>
        </w:rPr>
        <w:t>i sprzętu budowlanego od uszkodzeń</w:t>
      </w:r>
    </w:p>
    <w:p w14:paraId="475F1E15" w14:textId="01A3B7C9" w:rsidR="0023137A" w:rsidRPr="00FA2820" w:rsidRDefault="0023137A" w:rsidP="00FA2820">
      <w:pPr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A2820">
        <w:rPr>
          <w:rFonts w:ascii="Segoe UI" w:eastAsia="Times New Roman" w:hAnsi="Segoe UI" w:cs="Segoe UI"/>
          <w:szCs w:val="20"/>
          <w:lang w:eastAsia="pl-PL"/>
        </w:rPr>
        <w:t xml:space="preserve">Zakres ubezpieczenia w odniesieniu do </w:t>
      </w:r>
      <w:r w:rsidR="001C39AD" w:rsidRPr="00FA2820">
        <w:rPr>
          <w:rFonts w:ascii="Segoe UI" w:eastAsia="Times New Roman" w:hAnsi="Segoe UI" w:cs="Segoe UI"/>
          <w:szCs w:val="20"/>
          <w:lang w:eastAsia="pl-PL"/>
        </w:rPr>
        <w:t>ubezpieczonych maszyn i sprzętu budowlanego</w:t>
      </w:r>
      <w:r w:rsidRPr="00FA2820">
        <w:rPr>
          <w:rFonts w:ascii="Segoe UI" w:eastAsia="Times New Roman" w:hAnsi="Segoe UI" w:cs="Segoe UI"/>
          <w:szCs w:val="20"/>
          <w:lang w:eastAsia="pl-PL"/>
        </w:rPr>
        <w:t>), rozszerza się o:</w:t>
      </w:r>
    </w:p>
    <w:p w14:paraId="7485FF4C" w14:textId="7A4397A1" w:rsidR="0023137A" w:rsidRPr="00FA2820" w:rsidRDefault="004459BA" w:rsidP="00FA2820">
      <w:pPr>
        <w:widowControl w:val="0"/>
        <w:numPr>
          <w:ilvl w:val="1"/>
          <w:numId w:val="6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A2820">
        <w:rPr>
          <w:rFonts w:ascii="Segoe UI" w:eastAsia="Times New Roman" w:hAnsi="Segoe UI" w:cs="Segoe UI"/>
          <w:szCs w:val="20"/>
          <w:lang w:eastAsia="pl-PL"/>
        </w:rPr>
        <w:t xml:space="preserve">błędy w obsłudze maszyn powodujące kolizje z innymi maszynami na placu budowy, wpadnięcie do wykopu lub przewrócenie się maszyny; </w:t>
      </w:r>
      <w:r w:rsidR="0023137A" w:rsidRPr="00FA2820">
        <w:rPr>
          <w:rFonts w:ascii="Segoe UI" w:eastAsia="Times New Roman" w:hAnsi="Segoe UI" w:cs="Segoe UI"/>
          <w:szCs w:val="20"/>
          <w:lang w:eastAsia="pl-PL"/>
        </w:rPr>
        <w:t>szkody elektryczne.</w:t>
      </w:r>
    </w:p>
    <w:p w14:paraId="0E1CEEF5" w14:textId="61FE7364" w:rsidR="004520A8" w:rsidRDefault="004520A8" w:rsidP="00FA2820">
      <w:pPr>
        <w:widowControl w:val="0"/>
        <w:numPr>
          <w:ilvl w:val="1"/>
          <w:numId w:val="6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A2820">
        <w:rPr>
          <w:rFonts w:ascii="Segoe UI" w:eastAsia="Times New Roman" w:hAnsi="Segoe UI" w:cs="Segoe UI"/>
          <w:szCs w:val="20"/>
          <w:lang w:eastAsia="pl-PL"/>
        </w:rPr>
        <w:t>zniszczenie lub uszkodzenie przez osoby trzecie;</w:t>
      </w:r>
    </w:p>
    <w:p w14:paraId="32E4BB48" w14:textId="77777777" w:rsidR="00A70A5C" w:rsidRPr="00FA2820" w:rsidRDefault="00A70A5C" w:rsidP="00FA2820">
      <w:pPr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2A163A">
        <w:rPr>
          <w:rFonts w:ascii="Segoe UI" w:eastAsia="Times New Roman" w:hAnsi="Segoe UI" w:cs="Segoe UI"/>
          <w:szCs w:val="20"/>
          <w:lang w:eastAsia="pl-PL"/>
        </w:rPr>
        <w:t xml:space="preserve">Wykonawca obejmuje ochroną maszyny i sprzęt budowlany w czasie ruchu lub postoju, w czasie montażu albo demontażu na stanowisku pracy, </w:t>
      </w:r>
      <w:r w:rsidRPr="002A163A">
        <w:rPr>
          <w:rFonts w:ascii="Segoe UI" w:eastAsia="Times New Roman" w:hAnsi="Segoe UI" w:cs="Segoe UI"/>
          <w:szCs w:val="20"/>
          <w:lang w:eastAsia="pl-PL"/>
        </w:rPr>
        <w:lastRenderedPageBreak/>
        <w:t>załadunku albo rozładunku na albo ze środka transportowego oraz w czasie dokonywanych przez posiadacza napraw oraz czynności konserwacyjnych.</w:t>
      </w:r>
    </w:p>
    <w:p w14:paraId="49863E1C" w14:textId="2BDFEAC4" w:rsidR="0072492D" w:rsidRDefault="0072492D" w:rsidP="00595E87">
      <w:pPr>
        <w:widowControl w:val="0"/>
        <w:numPr>
          <w:ilvl w:val="0"/>
          <w:numId w:val="56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A2820">
        <w:rPr>
          <w:rFonts w:ascii="Segoe UI" w:eastAsia="Times New Roman" w:hAnsi="Segoe UI" w:cs="Segoe UI"/>
          <w:szCs w:val="20"/>
          <w:lang w:eastAsia="pl-PL"/>
        </w:rPr>
        <w:t>Limit odpowiedzialności: zgodny z Tabelą Limitów.</w:t>
      </w:r>
    </w:p>
    <w:p w14:paraId="483E1FEB" w14:textId="77777777" w:rsidR="00FE0E4E" w:rsidRPr="00FA2820" w:rsidRDefault="00FE0E4E" w:rsidP="00FA2820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1D488828" w14:textId="7FF4D82A" w:rsidR="0041572B" w:rsidRPr="00BA776B" w:rsidRDefault="0041572B" w:rsidP="00A476F0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BA776B">
        <w:rPr>
          <w:rFonts w:ascii="Segoe UI" w:eastAsia="Times New Roman" w:hAnsi="Segoe UI" w:cs="Segoe UI"/>
          <w:szCs w:val="20"/>
          <w:lang w:eastAsia="pl-PL"/>
        </w:rPr>
        <w:t xml:space="preserve">Klauzula </w:t>
      </w:r>
      <w:r w:rsidR="004606FF" w:rsidRPr="00BA776B">
        <w:rPr>
          <w:rFonts w:ascii="Segoe UI" w:eastAsia="Times New Roman" w:hAnsi="Segoe UI" w:cs="Segoe UI"/>
          <w:szCs w:val="20"/>
          <w:lang w:eastAsia="pl-PL"/>
        </w:rPr>
        <w:t xml:space="preserve">sprzętu elektronicznego w okresie </w:t>
      </w:r>
      <w:r w:rsidR="00C666BE" w:rsidRPr="00BA776B">
        <w:rPr>
          <w:rFonts w:ascii="Segoe UI" w:eastAsia="Times New Roman" w:hAnsi="Segoe UI" w:cs="Segoe UI"/>
          <w:szCs w:val="20"/>
          <w:lang w:eastAsia="pl-PL"/>
        </w:rPr>
        <w:t>tymczasowego magazynowania</w:t>
      </w:r>
    </w:p>
    <w:p w14:paraId="6F15C5C8" w14:textId="1D0E3F58" w:rsidR="009E5757" w:rsidRDefault="0052296D" w:rsidP="0052296D">
      <w:pPr>
        <w:widowControl w:val="0"/>
        <w:autoSpaceDE w:val="0"/>
        <w:autoSpaceDN w:val="0"/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>W</w:t>
      </w:r>
      <w:r w:rsidR="005119CF">
        <w:rPr>
          <w:rFonts w:ascii="Segoe UI" w:eastAsia="Times New Roman" w:hAnsi="Segoe UI" w:cs="Segoe UI"/>
          <w:szCs w:val="20"/>
          <w:lang w:eastAsia="pl-PL"/>
        </w:rPr>
        <w:t xml:space="preserve">ykonawca obejmuje ochroną szkody z tytułu utraty lub uszkodzenia sprzętu elektronicznego </w:t>
      </w:r>
      <w:r w:rsidR="00D9492B">
        <w:rPr>
          <w:rFonts w:ascii="Segoe UI" w:eastAsia="Times New Roman" w:hAnsi="Segoe UI" w:cs="Segoe UI"/>
          <w:szCs w:val="20"/>
          <w:lang w:eastAsia="pl-PL"/>
        </w:rPr>
        <w:t>speł</w:t>
      </w:r>
      <w:r w:rsidR="00135242">
        <w:rPr>
          <w:rFonts w:ascii="Segoe UI" w:eastAsia="Times New Roman" w:hAnsi="Segoe UI" w:cs="Segoe UI"/>
          <w:szCs w:val="20"/>
          <w:lang w:eastAsia="pl-PL"/>
        </w:rPr>
        <w:t>niającego następujące warunki:</w:t>
      </w:r>
    </w:p>
    <w:p w14:paraId="67F047E2" w14:textId="3EB5C3B3" w:rsidR="00135242" w:rsidRDefault="009775CD" w:rsidP="0072492D">
      <w:pPr>
        <w:widowControl w:val="0"/>
        <w:numPr>
          <w:ilvl w:val="1"/>
          <w:numId w:val="6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 xml:space="preserve">Sprawnego </w:t>
      </w:r>
      <w:r w:rsidR="00FE0C5E">
        <w:rPr>
          <w:rFonts w:ascii="Segoe UI" w:eastAsia="Times New Roman" w:hAnsi="Segoe UI" w:cs="Segoe UI"/>
          <w:szCs w:val="20"/>
          <w:lang w:eastAsia="pl-PL"/>
        </w:rPr>
        <w:t>technicznego i dopuszczonego do eksploatacji</w:t>
      </w:r>
      <w:r w:rsidR="0038763D">
        <w:rPr>
          <w:rFonts w:ascii="Segoe UI" w:eastAsia="Times New Roman" w:hAnsi="Segoe UI" w:cs="Segoe UI"/>
          <w:szCs w:val="20"/>
          <w:lang w:eastAsia="pl-PL"/>
        </w:rPr>
        <w:t>, który pozostały czasowo nie użytkowany lub tymczasowo maga</w:t>
      </w:r>
      <w:r w:rsidR="0084446E">
        <w:rPr>
          <w:rFonts w:ascii="Segoe UI" w:eastAsia="Times New Roman" w:hAnsi="Segoe UI" w:cs="Segoe UI"/>
          <w:szCs w:val="20"/>
          <w:lang w:eastAsia="pl-PL"/>
        </w:rPr>
        <w:t xml:space="preserve">zynowany w miejscu ubezpieczenia </w:t>
      </w:r>
      <w:r w:rsidR="00C22D6F">
        <w:rPr>
          <w:rFonts w:ascii="Segoe UI" w:eastAsia="Times New Roman" w:hAnsi="Segoe UI" w:cs="Segoe UI"/>
          <w:szCs w:val="20"/>
          <w:lang w:eastAsia="pl-PL"/>
        </w:rPr>
        <w:t xml:space="preserve">wskazanym </w:t>
      </w:r>
      <w:r w:rsidR="00E7543E">
        <w:rPr>
          <w:rFonts w:ascii="Segoe UI" w:eastAsia="Times New Roman" w:hAnsi="Segoe UI" w:cs="Segoe UI"/>
          <w:szCs w:val="20"/>
          <w:lang w:eastAsia="pl-PL"/>
        </w:rPr>
        <w:t>w Załączniku 1D;</w:t>
      </w:r>
    </w:p>
    <w:p w14:paraId="1CEABAD8" w14:textId="13FA7735" w:rsidR="008C72DB" w:rsidRDefault="00FE6430" w:rsidP="0072492D">
      <w:pPr>
        <w:widowControl w:val="0"/>
        <w:numPr>
          <w:ilvl w:val="1"/>
          <w:numId w:val="60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>Nowo zakupionego od daty dostawy do planowanej</w:t>
      </w:r>
      <w:r w:rsidR="002A7CEC">
        <w:rPr>
          <w:rFonts w:ascii="Segoe UI" w:eastAsia="Times New Roman" w:hAnsi="Segoe UI" w:cs="Segoe UI"/>
          <w:szCs w:val="20"/>
          <w:lang w:eastAsia="pl-PL"/>
        </w:rPr>
        <w:t xml:space="preserve"> daty włączenia</w:t>
      </w:r>
      <w:r>
        <w:rPr>
          <w:rFonts w:ascii="Segoe UI" w:eastAsia="Times New Roman" w:hAnsi="Segoe UI" w:cs="Segoe UI"/>
          <w:szCs w:val="20"/>
          <w:lang w:eastAsia="pl-PL"/>
        </w:rPr>
        <w:t xml:space="preserve"> eks</w:t>
      </w:r>
      <w:r w:rsidR="002A7CEC">
        <w:rPr>
          <w:rFonts w:ascii="Segoe UI" w:eastAsia="Times New Roman" w:hAnsi="Segoe UI" w:cs="Segoe UI"/>
          <w:szCs w:val="20"/>
          <w:lang w:eastAsia="pl-PL"/>
        </w:rPr>
        <w:t>ploatacji</w:t>
      </w:r>
      <w:r w:rsidR="008C72DB">
        <w:rPr>
          <w:rFonts w:ascii="Segoe UI" w:eastAsia="Times New Roman" w:hAnsi="Segoe UI" w:cs="Segoe UI"/>
          <w:szCs w:val="20"/>
          <w:lang w:eastAsia="pl-PL"/>
        </w:rPr>
        <w:t>;</w:t>
      </w:r>
    </w:p>
    <w:p w14:paraId="0ABBEB6C" w14:textId="77777777" w:rsidR="00335CA2" w:rsidRPr="008C72DB" w:rsidRDefault="00335CA2" w:rsidP="00FA2820">
      <w:pPr>
        <w:widowControl w:val="0"/>
        <w:autoSpaceDE w:val="0"/>
        <w:autoSpaceDN w:val="0"/>
        <w:spacing w:after="0" w:line="276" w:lineRule="auto"/>
        <w:ind w:left="2498"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1A71BBF8" w14:textId="633C59A9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Klauzula - Mienia w transporcie</w:t>
      </w:r>
    </w:p>
    <w:p w14:paraId="1844D843" w14:textId="47478385" w:rsidR="004D2D3F" w:rsidRPr="004D2D3F" w:rsidRDefault="004D2D3F" w:rsidP="00FA2820">
      <w:pPr>
        <w:widowControl w:val="0"/>
        <w:numPr>
          <w:ilvl w:val="0"/>
          <w:numId w:val="5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Wykonawca obejmuje ochroną szkody w ubezpieczonym mieniu podczas transportu drogowego, kolejowego, powietrznego, wodnego dokonywanego przez Zamawiającego</w:t>
      </w:r>
      <w:r w:rsidR="008C453E">
        <w:rPr>
          <w:rFonts w:ascii="Segoe UI" w:eastAsia="Times New Roman" w:hAnsi="Segoe UI" w:cs="Segoe UI"/>
          <w:szCs w:val="20"/>
          <w:lang w:eastAsia="pl-PL"/>
        </w:rPr>
        <w:t xml:space="preserve"> 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lub osoby, za które ponosi odpowiedzialność, pojazdami własnymi Zamawiającego lub prywatnymi pojazdami. </w:t>
      </w:r>
    </w:p>
    <w:p w14:paraId="24293A8A" w14:textId="5493A72D" w:rsidR="004D2D3F" w:rsidRPr="004D2D3F" w:rsidRDefault="004D2D3F" w:rsidP="00FA2820">
      <w:pPr>
        <w:widowControl w:val="0"/>
        <w:numPr>
          <w:ilvl w:val="0"/>
          <w:numId w:val="5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Za początek transportu uważa się moment przejęcia ubezpieczonego mienia do rozpoczynającego się po tym transportu, a za koniec transportu - wydanie mienia w miejscu docelowym.</w:t>
      </w:r>
    </w:p>
    <w:p w14:paraId="5CB77C73" w14:textId="3F81431D" w:rsidR="004D2D3F" w:rsidRPr="004D2D3F" w:rsidRDefault="004D2D3F" w:rsidP="00FA2820">
      <w:pPr>
        <w:widowControl w:val="0"/>
        <w:numPr>
          <w:ilvl w:val="0"/>
          <w:numId w:val="5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Ubezpieczeniem objęte są także szkody powstałe w czasie operacji załadunkowych lub wyładunkowych.</w:t>
      </w:r>
    </w:p>
    <w:p w14:paraId="062E2A16" w14:textId="2798258A" w:rsidR="004D2D3F" w:rsidRPr="004D2D3F" w:rsidRDefault="004D2D3F" w:rsidP="00FA2820">
      <w:pPr>
        <w:widowControl w:val="0"/>
        <w:numPr>
          <w:ilvl w:val="0"/>
          <w:numId w:val="5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Z ochrony ubezpieczeniowej wyłączone są jakiekolwiek szkody powstałe podczas lub w związku z transportem dokonywanym przez osoby trzecie na podstawie jakichkolwiek umów cywilnoprawnych z Zamawiającym, w</w:t>
      </w:r>
      <w:r w:rsidR="008C453E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szczególności umów przewozowych, spedycyjnych lub umów o</w:t>
      </w:r>
      <w:r w:rsidR="008C453E">
        <w:rPr>
          <w:rFonts w:ascii="Segoe UI" w:eastAsia="Times New Roman" w:hAnsi="Segoe UI" w:cs="Segoe UI"/>
          <w:szCs w:val="20"/>
          <w:lang w:eastAsia="pl-PL"/>
        </w:rPr>
        <w:t> </w:t>
      </w:r>
      <w:r w:rsidRPr="004D2D3F">
        <w:rPr>
          <w:rFonts w:ascii="Segoe UI" w:eastAsia="Times New Roman" w:hAnsi="Segoe UI" w:cs="Segoe UI"/>
          <w:szCs w:val="20"/>
          <w:lang w:eastAsia="pl-PL"/>
        </w:rPr>
        <w:t>świadczenie usług logistycznych.</w:t>
      </w:r>
    </w:p>
    <w:p w14:paraId="34114D75" w14:textId="1A3A6988" w:rsidR="004D2D3F" w:rsidRPr="004D2D3F" w:rsidRDefault="004D2D3F" w:rsidP="00FA2820">
      <w:pPr>
        <w:widowControl w:val="0"/>
        <w:numPr>
          <w:ilvl w:val="0"/>
          <w:numId w:val="52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Limit odpowiedzialności: zgodny z Tabelą Limitów</w:t>
      </w:r>
      <w:r w:rsidR="00BC6DFC">
        <w:rPr>
          <w:rFonts w:ascii="Segoe UI" w:eastAsia="Times New Roman" w:hAnsi="Segoe UI" w:cs="Segoe UI"/>
          <w:szCs w:val="20"/>
          <w:lang w:eastAsia="pl-PL"/>
        </w:rPr>
        <w:t>.</w:t>
      </w:r>
    </w:p>
    <w:p w14:paraId="16D55594" w14:textId="77777777" w:rsidR="004D2D3F" w:rsidRPr="004D2D3F" w:rsidRDefault="004D2D3F" w:rsidP="004D2D3F">
      <w:pPr>
        <w:spacing w:after="0" w:line="276" w:lineRule="auto"/>
        <w:ind w:left="1778"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4872A97A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>Klauzula - Przewłaszczenia na zabezpieczenie</w:t>
      </w:r>
    </w:p>
    <w:p w14:paraId="71DC98D7" w14:textId="77777777" w:rsidR="004D2D3F" w:rsidRPr="004D2D3F" w:rsidRDefault="004D2D3F" w:rsidP="008C453E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Strony działając na podstawie Kodeksu Cywilnego, uzgodniły iż przedmiotowa umowa ubezpieczenia, w zakresie w jakim dotyczy mienia, nie wygasa w wyniku przejścia własności ubezpieczonego mienia, wskutek przewłaszczenia na zabezpieczenie wierzytelności względem Zamawiającego. </w:t>
      </w:r>
    </w:p>
    <w:p w14:paraId="36E0630C" w14:textId="1425783F" w:rsidR="004D2D3F" w:rsidRPr="004D2D3F" w:rsidRDefault="004D2D3F" w:rsidP="008C453E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spacing w:after="0" w:line="276" w:lineRule="auto"/>
        <w:ind w:left="1843" w:right="566" w:hanging="283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Umowa ubezpieczenia nie wygasa również wskutek powrotnego przejścia na Zamawiającego własności mienia przewłaszczonego.</w:t>
      </w:r>
    </w:p>
    <w:p w14:paraId="363E96FF" w14:textId="52E6E421" w:rsidR="004D2D3F" w:rsidRPr="008C453E" w:rsidRDefault="004D2D3F" w:rsidP="00633E96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spacing w:after="120" w:line="276" w:lineRule="auto"/>
        <w:ind w:left="1843" w:right="567" w:hanging="284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Umowa ubezpieczenia nie wygasa niezależnie od tego, ile razy dokonywane będą czynności </w:t>
      </w:r>
      <w:r w:rsidRPr="00AE76E6">
        <w:rPr>
          <w:rFonts w:ascii="Segoe UI" w:eastAsia="Times New Roman" w:hAnsi="Segoe UI" w:cs="Segoe UI"/>
          <w:szCs w:val="20"/>
        </w:rPr>
        <w:t>okre</w:t>
      </w:r>
      <w:r w:rsidRPr="004D2D3F">
        <w:rPr>
          <w:rFonts w:ascii="Segoe UI" w:eastAsia="Times New Roman" w:hAnsi="Segoe UI" w:cs="Segoe UI"/>
          <w:szCs w:val="20"/>
        </w:rPr>
        <w:t xml:space="preserve">ślone w lit. a) i b).  </w:t>
      </w:r>
    </w:p>
    <w:p w14:paraId="1A33850A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Klauzula </w:t>
      </w:r>
      <w:proofErr w:type="spellStart"/>
      <w:r w:rsidRPr="004D2D3F">
        <w:rPr>
          <w:rFonts w:ascii="Segoe UI" w:eastAsia="Times New Roman" w:hAnsi="Segoe UI" w:cs="Segoe UI"/>
          <w:szCs w:val="20"/>
        </w:rPr>
        <w:t>leeway</w:t>
      </w:r>
      <w:proofErr w:type="spellEnd"/>
      <w:r w:rsidRPr="004D2D3F">
        <w:rPr>
          <w:rFonts w:ascii="Segoe UI" w:eastAsia="Times New Roman" w:hAnsi="Segoe UI" w:cs="Segoe UI"/>
          <w:szCs w:val="20"/>
        </w:rPr>
        <w:t xml:space="preserve"> - Częściowe odstąpienie od zasad proporcji przy likwidacji szkody </w:t>
      </w:r>
    </w:p>
    <w:p w14:paraId="60DD5E70" w14:textId="4D30FB7C" w:rsidR="004D2D3F" w:rsidRPr="004D2D3F" w:rsidRDefault="004D2D3F" w:rsidP="00906938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lastRenderedPageBreak/>
        <w:t>W przypadku ubezpieczenia mienia w systemie sum stałych nie będzie miała zastosowania zasada proporcji w odniesieniu do szkód częściowych, o ile deklarowana suma ubezpieczenia danego składnika majątku jest niższa (niedoubezpieczenie) o nie więcej niż 30% od wartości ubezpieczonego mienia na dzień powstania szkody; w razie niedoubezpieczenia przekraczającego 30%, zasada proporcji będzie liczona w stosunku do sumy ubezpieczenia powiększonej o 30%.</w:t>
      </w:r>
    </w:p>
    <w:p w14:paraId="277CDA70" w14:textId="77777777" w:rsidR="004D2D3F" w:rsidRPr="004D2D3F" w:rsidRDefault="004D2D3F" w:rsidP="004D2D3F">
      <w:pPr>
        <w:widowControl w:val="0"/>
        <w:spacing w:after="0" w:line="276" w:lineRule="auto"/>
        <w:ind w:left="1418"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Zasada proporcji nie znajduje zastosowania przy:</w:t>
      </w:r>
    </w:p>
    <w:p w14:paraId="7BD4B5CD" w14:textId="77777777" w:rsidR="004D2D3F" w:rsidRPr="004D2D3F" w:rsidRDefault="004D2D3F" w:rsidP="008C453E">
      <w:pPr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szkodach całkowitych, </w:t>
      </w:r>
    </w:p>
    <w:p w14:paraId="2A4F85BD" w14:textId="77777777" w:rsidR="004D2D3F" w:rsidRPr="004D2D3F" w:rsidRDefault="004D2D3F" w:rsidP="008C453E">
      <w:pPr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systemie sum zmiennych,</w:t>
      </w:r>
    </w:p>
    <w:p w14:paraId="3E6B671A" w14:textId="116AC3F4" w:rsidR="004D2D3F" w:rsidRPr="00633E96" w:rsidRDefault="004D2D3F" w:rsidP="00633E96">
      <w:pPr>
        <w:widowControl w:val="0"/>
        <w:numPr>
          <w:ilvl w:val="0"/>
          <w:numId w:val="33"/>
        </w:numPr>
        <w:autoSpaceDE w:val="0"/>
        <w:autoSpaceDN w:val="0"/>
        <w:spacing w:after="120" w:line="276" w:lineRule="auto"/>
        <w:ind w:left="2137" w:right="567" w:hanging="35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limitów odpowiedzialności określonych na jedno i wszystkie zdarzenia. </w:t>
      </w:r>
    </w:p>
    <w:p w14:paraId="395F34A0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napToGrid w:val="0"/>
          <w:szCs w:val="20"/>
        </w:rPr>
      </w:pPr>
      <w:r w:rsidRPr="004D2D3F">
        <w:rPr>
          <w:rFonts w:ascii="Segoe UI" w:eastAsia="Times New Roman" w:hAnsi="Segoe UI" w:cs="Segoe UI"/>
          <w:bCs/>
          <w:snapToGrid w:val="0"/>
          <w:szCs w:val="20"/>
        </w:rPr>
        <w:t>Klauzula Reprezentantów</w:t>
      </w:r>
    </w:p>
    <w:p w14:paraId="0F30BA1B" w14:textId="2346DCC7" w:rsidR="004D2D3F" w:rsidRDefault="004D2D3F" w:rsidP="008C453E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spacing w:val="-6"/>
          <w:szCs w:val="20"/>
        </w:rPr>
      </w:pPr>
      <w:r w:rsidRPr="008C453E">
        <w:rPr>
          <w:rFonts w:ascii="Segoe UI" w:eastAsia="Times New Roman" w:hAnsi="Segoe UI" w:cs="Segoe UI"/>
          <w:spacing w:val="-6"/>
          <w:szCs w:val="20"/>
        </w:rPr>
        <w:t>Strony umowy ustalają, że Wykonawca uzna szkodę i wypłaci odszkodowanie na warunkach niniejszej polisy także w przypadku, gdy szkoda będzie wynikiem winy umyślnej oraz/lub rażącego niedbalstwa, chyba że wina umyślna zostanie wykazana i udowodniona</w:t>
      </w:r>
      <w:r w:rsidR="00ED50F4">
        <w:rPr>
          <w:rFonts w:ascii="Segoe UI" w:eastAsia="Times New Roman" w:hAnsi="Segoe UI" w:cs="Segoe UI"/>
          <w:spacing w:val="-6"/>
          <w:szCs w:val="20"/>
        </w:rPr>
        <w:t xml:space="preserve"> Reprezentantom</w:t>
      </w:r>
      <w:r w:rsidRPr="008C453E">
        <w:rPr>
          <w:rFonts w:ascii="Segoe UI" w:eastAsia="Times New Roman" w:hAnsi="Segoe UI" w:cs="Segoe UI"/>
          <w:spacing w:val="-6"/>
          <w:szCs w:val="20"/>
        </w:rPr>
        <w:t xml:space="preserve"> Zamawiającego. </w:t>
      </w:r>
    </w:p>
    <w:p w14:paraId="09DFC59E" w14:textId="77777777" w:rsidR="00697285" w:rsidRPr="008C453E" w:rsidRDefault="00697285" w:rsidP="008C453E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spacing w:val="-6"/>
          <w:szCs w:val="20"/>
        </w:rPr>
      </w:pPr>
    </w:p>
    <w:p w14:paraId="5B605302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snapToGrid w:val="0"/>
          <w:szCs w:val="20"/>
        </w:rPr>
        <w:t>Klauzula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– Lokalizacyjna</w:t>
      </w:r>
    </w:p>
    <w:p w14:paraId="571E2B05" w14:textId="42A3A843" w:rsidR="00536E8A" w:rsidRPr="004D2D3F" w:rsidRDefault="004D2D3F" w:rsidP="00013232">
      <w:pPr>
        <w:widowControl w:val="0"/>
        <w:autoSpaceDE w:val="0"/>
        <w:autoSpaceDN w:val="0"/>
        <w:spacing w:after="120" w:line="276" w:lineRule="auto"/>
        <w:ind w:left="1418" w:right="62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Umowa ubezpieczenia obejmuje wszystkie lokalizacje  w których prowadzona jest działalność i/lub znajduje si</w:t>
      </w:r>
      <w:r w:rsidR="008C453E">
        <w:rPr>
          <w:rFonts w:ascii="Segoe UI" w:eastAsia="Times New Roman" w:hAnsi="Segoe UI" w:cs="Segoe UI"/>
          <w:szCs w:val="20"/>
          <w:lang w:eastAsia="pl-PL"/>
        </w:rPr>
        <w:t>ę</w:t>
      </w:r>
      <w:r w:rsidRPr="004D2D3F">
        <w:rPr>
          <w:rFonts w:ascii="Segoe UI" w:eastAsia="Times New Roman" w:hAnsi="Segoe UI" w:cs="Segoe UI"/>
          <w:szCs w:val="20"/>
          <w:lang w:eastAsia="pl-PL"/>
        </w:rPr>
        <w:t>/użytkowane jest mienie Zamawiającego, bez konieczności deklarowania sum i przedmiotów ubezpieczenia oddzielnie na każdą lokalizację.</w:t>
      </w:r>
    </w:p>
    <w:p w14:paraId="15960EB1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szCs w:val="20"/>
          <w:lang w:eastAsia="pl-PL"/>
        </w:rPr>
        <w:t>Klauzula błędów i przeoczeń</w:t>
      </w:r>
    </w:p>
    <w:p w14:paraId="7B06D46E" w14:textId="18B9F405" w:rsidR="004D2D3F" w:rsidRPr="004D2D3F" w:rsidRDefault="004D2D3F" w:rsidP="00633E96">
      <w:pPr>
        <w:widowControl w:val="0"/>
        <w:autoSpaceDE w:val="0"/>
        <w:autoSpaceDN w:val="0"/>
        <w:spacing w:after="120" w:line="276" w:lineRule="auto"/>
        <w:ind w:left="1418" w:right="62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8C453E">
        <w:rPr>
          <w:rFonts w:ascii="Segoe UI" w:eastAsia="Times New Roman" w:hAnsi="Segoe UI" w:cs="Segoe UI"/>
          <w:spacing w:val="-6"/>
          <w:szCs w:val="20"/>
          <w:lang w:eastAsia="pl-PL"/>
        </w:rPr>
        <w:t>Wykonawca ponosi odpowiedzialność za szkody powstałe w ubezpieczonym mieniu powstałe na skutek zrealizowania się zdarzenia objętego pokryciem ubezpieczeniowym pomimo, że Zamawiający nie dopełnił obowiązku zgłoszenia wszelkich zmian i okoliczności</w:t>
      </w:r>
      <w:r w:rsidRPr="004D2D3F">
        <w:rPr>
          <w:rFonts w:ascii="Segoe UI" w:eastAsia="Times New Roman" w:hAnsi="Segoe UI" w:cs="Segoe UI"/>
          <w:szCs w:val="20"/>
          <w:lang w:eastAsia="pl-PL"/>
        </w:rPr>
        <w:t xml:space="preserve"> powodujących wzrost ryzyka ubezpieczeniowego pod warunkiem, że działanie to nie nosi znamion działania umyślnego.</w:t>
      </w:r>
    </w:p>
    <w:p w14:paraId="50108BED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  <w:lang w:eastAsia="pl-PL"/>
        </w:rPr>
      </w:pPr>
      <w:r w:rsidRPr="004D2D3F">
        <w:rPr>
          <w:rFonts w:ascii="Segoe UI" w:eastAsia="Times New Roman" w:hAnsi="Segoe UI" w:cs="Segoe UI"/>
          <w:bCs/>
          <w:szCs w:val="20"/>
          <w:lang w:eastAsia="pl-PL"/>
        </w:rPr>
        <w:t>Klauzula w przypadku niedopełnienia obowiązków</w:t>
      </w:r>
    </w:p>
    <w:p w14:paraId="73ED20AF" w14:textId="4E1FA70F" w:rsidR="004D2D3F" w:rsidRPr="004D2D3F" w:rsidRDefault="004D2D3F" w:rsidP="00633E96">
      <w:pPr>
        <w:widowControl w:val="0"/>
        <w:autoSpaceDE w:val="0"/>
        <w:autoSpaceDN w:val="0"/>
        <w:spacing w:after="120" w:line="276" w:lineRule="auto"/>
        <w:ind w:left="1418" w:right="624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4D2D3F">
        <w:rPr>
          <w:rFonts w:ascii="Segoe UI" w:eastAsia="Times New Roman" w:hAnsi="Segoe UI" w:cs="Segoe UI"/>
          <w:szCs w:val="20"/>
          <w:lang w:eastAsia="pl-PL"/>
        </w:rPr>
        <w:t>Jeżeli Zamawiający nie dopełnił obowiązków określonych w umowie ubezpieczenia, a i ich niedopełnienie miało wpływ na powstanie szkody lub jej rozmiar, Wykonawca może odmówić wypłaty odszkodowania w całości lub części, tylko w wypadku, kiedy nie dopełnienie obowiązku było wynikiem winy umyślnej reprezentantów.</w:t>
      </w:r>
    </w:p>
    <w:p w14:paraId="6B0BBC41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4D2D3F">
        <w:rPr>
          <w:rFonts w:ascii="Segoe UI" w:eastAsia="Times New Roman" w:hAnsi="Segoe UI" w:cs="Segoe UI"/>
          <w:bCs/>
          <w:szCs w:val="20"/>
        </w:rPr>
        <w:t xml:space="preserve">Klauzula - Zniesienia regresu </w:t>
      </w:r>
    </w:p>
    <w:p w14:paraId="48075C25" w14:textId="70908B3E" w:rsidR="004D2D3F" w:rsidRPr="004D2D3F" w:rsidRDefault="004D2D3F" w:rsidP="00633E96">
      <w:pPr>
        <w:spacing w:after="120" w:line="276" w:lineRule="auto"/>
        <w:ind w:left="1418" w:right="567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W oparciu o art. 828 par. 1  Kodeksu cywilnego, strony postanawiają, że na</w:t>
      </w:r>
      <w:r w:rsidR="00633E96">
        <w:rPr>
          <w:rFonts w:ascii="Segoe UI" w:eastAsia="Times New Roman" w:hAnsi="Segoe UI" w:cs="Segoe UI"/>
          <w:szCs w:val="20"/>
        </w:rPr>
        <w:t> </w:t>
      </w:r>
      <w:r w:rsidRPr="00CB1BA8">
        <w:rPr>
          <w:rFonts w:ascii="Segoe UI" w:eastAsia="Times New Roman" w:hAnsi="Segoe UI" w:cs="Segoe UI"/>
          <w:szCs w:val="20"/>
        </w:rPr>
        <w:t>Wykonawc</w:t>
      </w:r>
      <w:r w:rsidR="00CB1BA8">
        <w:rPr>
          <w:rFonts w:ascii="Segoe UI" w:eastAsia="Times New Roman" w:hAnsi="Segoe UI" w:cs="Segoe UI"/>
          <w:szCs w:val="20"/>
        </w:rPr>
        <w:t>ę</w:t>
      </w:r>
      <w:r w:rsidRPr="004D2D3F">
        <w:rPr>
          <w:rFonts w:ascii="Segoe UI" w:eastAsia="Times New Roman" w:hAnsi="Segoe UI" w:cs="Segoe UI"/>
          <w:szCs w:val="20"/>
        </w:rPr>
        <w:t xml:space="preserve"> nie przechodzą roszczenia Zamawiającego przeciwko pracownikom, osobom zatrudnionym przez Zamawiającego na podstawie umów cywilnoprawnych, a także mianowania, powołania, wyboru lub spółdzielczej umowy o pracę, chyba że sprawca wyrządził szkodę umyślnie. </w:t>
      </w:r>
    </w:p>
    <w:p w14:paraId="5D66CE5B" w14:textId="77777777" w:rsidR="004D2D3F" w:rsidRPr="008270A6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bCs/>
          <w:szCs w:val="20"/>
        </w:rPr>
      </w:pPr>
      <w:r w:rsidRPr="008270A6">
        <w:rPr>
          <w:rFonts w:ascii="Segoe UI" w:eastAsia="Times New Roman" w:hAnsi="Segoe UI" w:cs="Segoe UI"/>
          <w:bCs/>
          <w:szCs w:val="20"/>
        </w:rPr>
        <w:t>Klauzula zabezpieczeń</w:t>
      </w:r>
    </w:p>
    <w:p w14:paraId="556A5664" w14:textId="6B2C9378" w:rsidR="00013232" w:rsidRPr="008270A6" w:rsidRDefault="004D2D3F" w:rsidP="00906938">
      <w:pPr>
        <w:spacing w:after="120" w:line="276" w:lineRule="auto"/>
        <w:ind w:left="1418" w:right="567"/>
        <w:jc w:val="both"/>
        <w:rPr>
          <w:rFonts w:ascii="Segoe UI" w:eastAsia="Times New Roman" w:hAnsi="Segoe UI" w:cs="Segoe UI"/>
          <w:bCs/>
          <w:szCs w:val="20"/>
        </w:rPr>
      </w:pPr>
      <w:r w:rsidRPr="008270A6">
        <w:rPr>
          <w:rFonts w:ascii="Segoe UI" w:eastAsia="Times New Roman" w:hAnsi="Segoe UI" w:cs="Segoe UI"/>
          <w:bCs/>
          <w:szCs w:val="20"/>
        </w:rPr>
        <w:lastRenderedPageBreak/>
        <w:t>Wykonawca uznaje za wystarczające zabezpieczenia przeciwpożarowe i </w:t>
      </w:r>
      <w:proofErr w:type="spellStart"/>
      <w:r w:rsidRPr="008270A6">
        <w:rPr>
          <w:rFonts w:ascii="Segoe UI" w:eastAsia="Times New Roman" w:hAnsi="Segoe UI" w:cs="Segoe UI"/>
          <w:bCs/>
          <w:szCs w:val="20"/>
        </w:rPr>
        <w:t>przeciwkradzieżowe</w:t>
      </w:r>
      <w:proofErr w:type="spellEnd"/>
      <w:r w:rsidRPr="008270A6">
        <w:rPr>
          <w:rFonts w:ascii="Segoe UI" w:eastAsia="Times New Roman" w:hAnsi="Segoe UI" w:cs="Segoe UI"/>
          <w:bCs/>
          <w:szCs w:val="20"/>
        </w:rPr>
        <w:t>, stosowane przez Zamawiającego, o ile są one zgodne z obowiązującymi w tym zakresie przepisami prawa, z  zastrzeżeniem iż w odniesieniu do ryzyka kradzieży z włamaniem Wykonawca uzna za wystarczające posiadanie co najmniej jednego zamka - nie dotyczy ubezpieczenia gotówki. Klauzula ma zastosowanie do wszystkich lokali, w których znajduje się ubezpieczone mienie, z zastrzeżeniem miejsc, których nie da się zabezpieczyć (zgodnie z miejscem ubezpieczenia).</w:t>
      </w:r>
    </w:p>
    <w:p w14:paraId="5A675A19" w14:textId="77777777" w:rsidR="004D2D3F" w:rsidRPr="004D2D3F" w:rsidRDefault="004D2D3F" w:rsidP="008C453E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>Klauzula Właściwości Sądu i Prawa</w:t>
      </w:r>
    </w:p>
    <w:p w14:paraId="49F85317" w14:textId="51B483E5" w:rsidR="004D2D3F" w:rsidRDefault="004D2D3F" w:rsidP="004D2D3F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i/>
          <w:szCs w:val="20"/>
        </w:rPr>
      </w:pPr>
      <w:r w:rsidRPr="004D2D3F">
        <w:rPr>
          <w:rFonts w:ascii="Segoe UI" w:eastAsia="Times New Roman" w:hAnsi="Segoe UI" w:cs="Segoe UI"/>
          <w:szCs w:val="20"/>
        </w:rPr>
        <w:t xml:space="preserve">Spory wynikające z umowy ubezpieczenia podlegają polskiemu prawu oraz jurysdykcji i rozstrzygane będą przez Stały Sąd Arbitrażowy przy Okręgowej Izbie Radców Prawnych w </w:t>
      </w:r>
      <w:r w:rsidR="00ED6DA6">
        <w:rPr>
          <w:rFonts w:ascii="Segoe UI" w:eastAsia="Times New Roman" w:hAnsi="Segoe UI" w:cs="Segoe UI"/>
          <w:szCs w:val="20"/>
        </w:rPr>
        <w:t>Warszawie</w:t>
      </w:r>
      <w:r w:rsidR="000A415E">
        <w:rPr>
          <w:rFonts w:ascii="Segoe UI" w:eastAsia="Times New Roman" w:hAnsi="Segoe UI" w:cs="Segoe UI"/>
          <w:szCs w:val="20"/>
        </w:rPr>
        <w:t>.</w:t>
      </w:r>
    </w:p>
    <w:p w14:paraId="5782AD13" w14:textId="4B3692A2" w:rsidR="00536E8A" w:rsidRDefault="00536E8A" w:rsidP="004D2D3F">
      <w:pPr>
        <w:spacing w:after="0" w:line="276" w:lineRule="auto"/>
        <w:ind w:left="1418" w:right="566"/>
        <w:jc w:val="both"/>
        <w:rPr>
          <w:rFonts w:ascii="Segoe UI" w:eastAsia="Times New Roman" w:hAnsi="Segoe UI" w:cs="Segoe UI"/>
          <w:i/>
          <w:szCs w:val="20"/>
        </w:rPr>
      </w:pPr>
    </w:p>
    <w:p w14:paraId="7120CEB3" w14:textId="11836D55" w:rsidR="00536E8A" w:rsidRPr="00746832" w:rsidRDefault="00536E8A" w:rsidP="004A126B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Klauzula automatycznego pokrycia nowych lokalizacji</w:t>
      </w:r>
    </w:p>
    <w:p w14:paraId="12A696CD" w14:textId="77777777" w:rsidR="00536E8A" w:rsidRPr="00746832" w:rsidRDefault="00536E8A" w:rsidP="00013232">
      <w:pPr>
        <w:spacing w:line="276" w:lineRule="auto"/>
        <w:ind w:left="1353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Mienie znajdujące się w nowych lokalizacjach z zamiarem prowadzenia w nich działalności w trybie stałym objęte zostaje automatycznie ochroną ubezpieczeniową. Wykaz lokalizacji w ramach przedmiotowej klauzuli będzie podlegał aktualizacji raz na kwartał – w ciągu 30 dni po zakończeniu każdego kwartału danego okresu ubezpieczenia.</w:t>
      </w:r>
    </w:p>
    <w:p w14:paraId="1BF3EDFF" w14:textId="77777777" w:rsidR="00536E8A" w:rsidRPr="00746832" w:rsidRDefault="00536E8A" w:rsidP="00013232">
      <w:pPr>
        <w:spacing w:line="276" w:lineRule="auto"/>
        <w:ind w:left="1353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Ochrona ubezpieczeniowa dla nowopowstałych lokalizacji rozpoczyna się automatycznie:</w:t>
      </w:r>
    </w:p>
    <w:p w14:paraId="77FE19F6" w14:textId="77777777" w:rsidR="00536E8A" w:rsidRPr="00746832" w:rsidRDefault="00536E8A" w:rsidP="00536E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w pierwszym dniu obowiązywania kontraktu najmu itp. dla budynków lub pomieszczeń najmowanych przez Ubezpieczającego,</w:t>
      </w:r>
    </w:p>
    <w:p w14:paraId="6A36F9C3" w14:textId="77777777" w:rsidR="00536E8A" w:rsidRPr="00746832" w:rsidRDefault="00536E8A" w:rsidP="00536E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>w pierwszym dniu po podpisaniu umowy kupna itp. i formalnym przejściu własności nieruchomości na Ubezpieczającego w przypadku zakupu nowych nieruchomości,</w:t>
      </w:r>
    </w:p>
    <w:p w14:paraId="5698634F" w14:textId="24CDD37C" w:rsidR="004D2D3F" w:rsidRPr="00746832" w:rsidRDefault="00536E8A" w:rsidP="00013232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Segoe UI" w:eastAsia="Times New Roman" w:hAnsi="Segoe UI" w:cs="Segoe UI"/>
          <w:szCs w:val="20"/>
        </w:rPr>
      </w:pPr>
      <w:r w:rsidRPr="00746832">
        <w:rPr>
          <w:rFonts w:ascii="Segoe UI" w:eastAsia="Times New Roman" w:hAnsi="Segoe UI" w:cs="Segoe UI"/>
          <w:szCs w:val="20"/>
        </w:rPr>
        <w:t xml:space="preserve">w pierwszym dniu po podpisaniu i przekazaniu stosownego protokołu zdawczo-odbiorczego dla </w:t>
      </w:r>
      <w:proofErr w:type="spellStart"/>
      <w:r w:rsidRPr="00746832">
        <w:rPr>
          <w:rFonts w:ascii="Segoe UI" w:eastAsia="Times New Roman" w:hAnsi="Segoe UI" w:cs="Segoe UI"/>
          <w:szCs w:val="20"/>
        </w:rPr>
        <w:t>nowowybudowanych</w:t>
      </w:r>
      <w:proofErr w:type="spellEnd"/>
      <w:r w:rsidRPr="00746832">
        <w:rPr>
          <w:rFonts w:ascii="Segoe UI" w:eastAsia="Times New Roman" w:hAnsi="Segoe UI" w:cs="Segoe UI"/>
          <w:szCs w:val="20"/>
        </w:rPr>
        <w:t xml:space="preserve"> lub wyremontowanych budynków, odbieranych przez Ubezpieczającego.</w:t>
      </w:r>
    </w:p>
    <w:p w14:paraId="3C5F92A0" w14:textId="77777777" w:rsidR="00633E96" w:rsidRPr="004D2D3F" w:rsidRDefault="00633E96" w:rsidP="008C453E">
      <w:pPr>
        <w:spacing w:after="0" w:line="276" w:lineRule="auto"/>
        <w:ind w:right="566"/>
        <w:jc w:val="both"/>
        <w:rPr>
          <w:rFonts w:ascii="Segoe UI" w:eastAsia="Times New Roman" w:hAnsi="Segoe UI" w:cs="Segoe UI"/>
          <w:i/>
          <w:szCs w:val="20"/>
        </w:rPr>
      </w:pPr>
    </w:p>
    <w:p w14:paraId="4219C762" w14:textId="510E1527" w:rsidR="004D2D3F" w:rsidRPr="004D2D3F" w:rsidRDefault="004D2D3F" w:rsidP="008C453E">
      <w:pPr>
        <w:pStyle w:val="Nagwek3"/>
        <w:numPr>
          <w:ilvl w:val="0"/>
          <w:numId w:val="13"/>
        </w:numPr>
      </w:pPr>
      <w:r w:rsidRPr="004D2D3F">
        <w:t>LIMITY ODPOWIEDZIALNOŚCI</w:t>
      </w:r>
    </w:p>
    <w:p w14:paraId="729119BA" w14:textId="6CEDD7CD" w:rsidR="004D2D3F" w:rsidRPr="008C453E" w:rsidRDefault="004D2D3F" w:rsidP="008C453E">
      <w:pPr>
        <w:pStyle w:val="Nagwek3"/>
      </w:pPr>
      <w:r w:rsidRPr="004D2D3F">
        <w:t>Tabela limitów</w:t>
      </w: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4296"/>
        <w:gridCol w:w="1853"/>
        <w:gridCol w:w="3261"/>
      </w:tblGrid>
      <w:tr w:rsidR="004D2D3F" w:rsidRPr="004D2D3F" w14:paraId="2075FE6B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4394EF61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43B02AFD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Kradzież z włamaniem, rabunek oraz wandalizm</w:t>
            </w:r>
          </w:p>
          <w:p w14:paraId="586E0214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 xml:space="preserve">System ubezpieczenia: na pierwsze ryzyko 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0F528EC3" w14:textId="1534C7CE" w:rsidR="004D2D3F" w:rsidRPr="004D2D3F" w:rsidRDefault="00C81A08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1</w:t>
            </w:r>
            <w:r w:rsidR="004D2D3F"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6D3B8BFB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D2D3F" w:rsidRPr="004D2D3F" w14:paraId="69D54309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69AE0771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54605935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Szyby od stłuczenia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  </w:t>
            </w:r>
          </w:p>
          <w:p w14:paraId="0F4B3A52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>System ubezpieczenia: na pierwsze ryzyko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54091D20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CAF3D72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D2D3F" w:rsidRPr="004D2D3F" w14:paraId="2331549A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35799D97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3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159F8439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Kradzież zwykła </w:t>
            </w:r>
          </w:p>
          <w:p w14:paraId="23A0346F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>System ubezpieczenia: na pierwsze ryzyko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540842DE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20 000,00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5BFA0F7F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D2D3F" w:rsidRPr="004D2D3F" w14:paraId="2729B3E4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36876D24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4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0472C5B7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Szkody estetyczne (</w:t>
            </w:r>
            <w:proofErr w:type="spellStart"/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grafitti</w:t>
            </w:r>
            <w:proofErr w:type="spellEnd"/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)</w:t>
            </w:r>
          </w:p>
          <w:p w14:paraId="4217A378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>System ubezpieczenia: na pierwsze ryzyko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1FE70FF5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E5BE9EA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D2D3F" w:rsidRPr="004D2D3F" w14:paraId="0B1B32E7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05E6EB4D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5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06DDA8AA" w14:textId="53661AB3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Wartości pieniężne od kradzieży z </w:t>
            </w:r>
            <w:r w:rsidR="003F3FEB">
              <w:rPr>
                <w:rFonts w:ascii="Segoe UI" w:eastAsia="Times New Roman" w:hAnsi="Segoe UI" w:cs="Segoe UI"/>
                <w:szCs w:val="20"/>
                <w:lang w:eastAsia="pl-PL"/>
              </w:rPr>
              <w:t> 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włamaniem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009C4460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05F7B659" w14:textId="77777777" w:rsidR="004D2D3F" w:rsidRPr="004D2D3F" w:rsidRDefault="004D2D3F" w:rsidP="004D2D3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06CA9" w:rsidRPr="004D2D3F" w14:paraId="129984FE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DBC654E" w14:textId="1D0F2AA3" w:rsidR="00406CA9" w:rsidRPr="004D2D3F" w:rsidRDefault="00EB01A8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1F8738C8" w14:textId="468AF631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Wartości pieniężne od rabunku w lokalu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219A0329" w14:textId="7B31C1CD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C77FFB5" w14:textId="3EE4D65A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06CA9" w:rsidRPr="004D2D3F" w14:paraId="5C59F6F5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  <w:hideMark/>
          </w:tcPr>
          <w:p w14:paraId="2D7C7A3B" w14:textId="0F1B36EC" w:rsidR="00406CA9" w:rsidRPr="004D2D3F" w:rsidRDefault="00EB01A8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7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1B69E762" w14:textId="77777777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Wartości pieniężne od rabunku w transporcie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48DE5E43" w14:textId="24E1D49F" w:rsidR="00406CA9" w:rsidRPr="004D2D3F" w:rsidRDefault="001F7D2C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10</w:t>
            </w:r>
            <w:r w:rsidR="00406CA9"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5D30B02" w14:textId="77777777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286C21" w:rsidRPr="004D2D3F" w14:paraId="0D157EA4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5BBA71A" w14:textId="0CA81CA4" w:rsidR="00286C21" w:rsidRDefault="00286C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8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5B064F89" w14:textId="3B63D4EC" w:rsidR="00286C21" w:rsidRPr="004D2D3F" w:rsidRDefault="00286C21" w:rsidP="00FA2820">
            <w:pPr>
              <w:widowControl w:val="0"/>
              <w:autoSpaceDE w:val="0"/>
              <w:autoSpaceDN w:val="0"/>
              <w:spacing w:after="0" w:line="276" w:lineRule="auto"/>
              <w:ind w:right="566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Klauzula ubezpieczenia </w:t>
            </w:r>
            <w:r w:rsidRPr="00BA776B">
              <w:rPr>
                <w:rFonts w:ascii="Segoe UI" w:eastAsia="Times New Roman" w:hAnsi="Segoe UI" w:cs="Segoe UI"/>
                <w:szCs w:val="20"/>
                <w:lang w:eastAsia="pl-PL"/>
              </w:rPr>
              <w:t>maszyn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</w:t>
            </w:r>
            <w:r w:rsidRPr="002A163A">
              <w:rPr>
                <w:rFonts w:ascii="Segoe UI" w:eastAsia="Times New Roman" w:hAnsi="Segoe UI" w:cs="Segoe UI"/>
                <w:szCs w:val="20"/>
                <w:lang w:eastAsia="pl-PL"/>
              </w:rPr>
              <w:t>i sprzętu</w:t>
            </w:r>
            <w:r w:rsidR="000E49A2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</w:t>
            </w:r>
            <w:r w:rsidRPr="002A163A">
              <w:rPr>
                <w:rFonts w:ascii="Segoe UI" w:eastAsia="Times New Roman" w:hAnsi="Segoe UI" w:cs="Segoe UI"/>
                <w:szCs w:val="20"/>
                <w:lang w:eastAsia="pl-PL"/>
              </w:rPr>
              <w:t>budowlanego od uszkodzeń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1C26125D" w14:textId="48C06240" w:rsidR="00286C21" w:rsidRDefault="00B15A86" w:rsidP="00286C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250</w:t>
            </w:r>
            <w:r w:rsidR="00286C21"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9B3A38" w14:textId="206B1D17" w:rsidR="00286C21" w:rsidRPr="004D2D3F" w:rsidRDefault="00286C21" w:rsidP="00286C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406CA9" w:rsidRPr="004D2D3F" w14:paraId="23824916" w14:textId="77777777" w:rsidTr="00D45D1C">
        <w:trPr>
          <w:trHeight w:val="125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B163BF4" w14:textId="5647A207" w:rsidR="00406CA9" w:rsidRPr="004D2D3F" w:rsidRDefault="000C4530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9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7F06ED8F" w14:textId="20176FDD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Mienie w transporcie (</w:t>
            </w:r>
            <w:r w:rsidR="00B43133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dotyczy całego ubezpieczanego mienia 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w trakcie przemieszczania poza lokalizacją wskazaną w 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 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umowie ubezpieczenia)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47D472B2" w14:textId="77777777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100 000,00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C40F84C" w14:textId="77777777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406CA9" w:rsidRPr="004D2D3F" w14:paraId="2F116CEF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1DF1F87" w14:textId="7EE090D9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</w:t>
            </w:r>
            <w:r w:rsidR="009641F4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0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019342DF" w14:textId="77777777" w:rsidR="00406CA9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Mienie pracownicze</w:t>
            </w:r>
          </w:p>
          <w:p w14:paraId="77C96777" w14:textId="09791DA9" w:rsidR="004F1296" w:rsidRPr="004D2D3F" w:rsidRDefault="004F1296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>System ubezpieczenia: na pierwsze ryzyko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04932FE1" w14:textId="1C3AA5FA" w:rsidR="00406CA9" w:rsidRPr="004D2D3F" w:rsidRDefault="004F1296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3</w:t>
            </w:r>
            <w:r w:rsidR="00406CA9"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DA070BB" w14:textId="77777777" w:rsidR="00406CA9" w:rsidRPr="004D2D3F" w:rsidRDefault="00406CA9" w:rsidP="00406C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1478806E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347F8540" w14:textId="6B59D8B0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</w:t>
            </w: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4A543B6C" w14:textId="77777777" w:rsidR="00887E86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Środki obrotowe</w:t>
            </w:r>
          </w:p>
          <w:p w14:paraId="1B27B13C" w14:textId="4854E308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i/>
                <w:iCs/>
                <w:szCs w:val="20"/>
                <w:lang w:eastAsia="pl-PL"/>
              </w:rPr>
              <w:t>System ubezpieczenia: na pierwsze ryzyko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5CC6FB20" w14:textId="4EF933B6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100 000,00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9CDA88" w14:textId="7858EF2E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5307EFD0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4A8CCCBD" w14:textId="70DAC6C1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12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1697462E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Drobne roboty budowlano-montażowe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446C0C2E" w14:textId="131F213B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1 0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001C26C4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711E1A03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7287EAC2" w14:textId="1407CCD5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13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634607CA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Katastrofa budowlana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10A5BF34" w14:textId="4113756A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2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000 000,00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1A4FA2B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2DB3DD8D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2AD8CF7D" w14:textId="0A49BE74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14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5A9CC58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Ubezpieczenie ryzyka strajku, rozruchów i zamieszek społecznych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4B539594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1 000 000,00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09E230F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24CA63F4" w14:textId="77777777" w:rsidTr="00D45D1C">
        <w:trPr>
          <w:trHeight w:val="1346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684741A9" w14:textId="4A1C2F06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15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10AEEFA0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Ubezpieczenie ryzyka terroryzmu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222B90F0" w14:textId="3D004FB3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1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000 000,00 PLN z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> </w:t>
            </w:r>
            <w:proofErr w:type="spellStart"/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podlimitem</w:t>
            </w:r>
            <w:proofErr w:type="spellEnd"/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br/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100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000,00 PLN na koszty ewakuacji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64096C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7D2E3883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03695AE4" w14:textId="3644CC93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16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7BD088BC" w14:textId="225A4D00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Ubezpieczenie maszyn i urządzeń od awarii i 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> 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uszkodzeń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oraz szkód elektrycznych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0A1A7F13" w14:textId="6DC48CE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2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589A93C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106A2D3A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6208AD21" w14:textId="0869039D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17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01E6B77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Ryzyko zapadania lub osuwania się ziemi związanego z działalnością człowieka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0B19EA7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C457A1A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7B98832B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455C317" w14:textId="3FBC5A34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18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792A2BF5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Szkody następcze związane z zaistniałą szkodą m.in. wyciek mediów (wody) 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61E557B4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6627E6A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1A752D93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24ED0095" w14:textId="37DD5143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19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333C26A0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Ubezpieczenie zwiększonych kosztów działalności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25A2A171" w14:textId="55C53E70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6B18334E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2A9983D1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C622C28" w14:textId="40833F0C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20</w:t>
            </w:r>
          </w:p>
        </w:tc>
        <w:tc>
          <w:tcPr>
            <w:tcW w:w="4296" w:type="dxa"/>
            <w:shd w:val="clear" w:color="000000" w:fill="FFFFFF"/>
            <w:noWrap/>
            <w:vAlign w:val="center"/>
            <w:hideMark/>
          </w:tcPr>
          <w:p w14:paraId="7D44C681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Koszty naprawy zabezpieczeń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52804A1C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EA7E8C5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7F7E2BB9" w14:textId="77777777" w:rsidTr="00D45D1C">
        <w:trPr>
          <w:trHeight w:val="5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E62AFE2" w14:textId="061682AF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21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0B024B78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Koszty ponownego napełnienia urządzeń gaśniczych 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7215F051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100 000,00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EB13655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37A3270F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26605809" w14:textId="28A02674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22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591E269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Koszty poszukiwania przyczyn szkody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74BC2A9A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100 000,00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1BB406A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6860BF70" w14:textId="77777777" w:rsidTr="00D45D1C">
        <w:trPr>
          <w:trHeight w:val="175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091E2A5E" w14:textId="22EFF06E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23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654C094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Ubezpieczenie kosztów uprzątnięcia pozostałości po szkodzie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14:paraId="310DAECF" w14:textId="49184D75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br/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5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00 000,00 PLN na jedno zdarzenie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br/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1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00 000,00 PLN na wszystkie zdarzenia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4F7FAE3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nadwyżkowy limit</w:t>
            </w:r>
          </w:p>
        </w:tc>
      </w:tr>
      <w:tr w:rsidR="00887E86" w:rsidRPr="004D2D3F" w14:paraId="53CFD069" w14:textId="77777777" w:rsidTr="00D45D1C">
        <w:trPr>
          <w:trHeight w:val="175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3244495F" w14:textId="69E77FF4" w:rsidR="00887E86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24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00BF95A9" w14:textId="3D6FA89C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Klauzula frachtu ekspresowego i lotniczego</w:t>
            </w:r>
          </w:p>
        </w:tc>
        <w:tc>
          <w:tcPr>
            <w:tcW w:w="1853" w:type="dxa"/>
            <w:shd w:val="clear" w:color="auto" w:fill="auto"/>
            <w:vAlign w:val="center"/>
          </w:tcPr>
          <w:p w14:paraId="50DD2732" w14:textId="4F0CF5F2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50 000,00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3588D9" w14:textId="003CCFCD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4AAE17AF" w14:textId="77777777" w:rsidTr="00D45D1C">
        <w:trPr>
          <w:trHeight w:val="75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629D17F5" w14:textId="7124A53B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25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3FACFDE7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Dodatkowe ubezpieczenie kosztów zabezpieczenia mienia przed szkodą oraz kosztów ratownictwa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6A954FF9" w14:textId="3F6F12B6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5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D29E11D" w14:textId="708593FF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nadwyżkowy limit na jedno i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 </w:t>
            </w: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wszystkie zdarzenia</w:t>
            </w:r>
          </w:p>
        </w:tc>
      </w:tr>
      <w:tr w:rsidR="00887E86" w:rsidRPr="004D2D3F" w14:paraId="12E5BD52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69EEF7E7" w14:textId="25E3B05C" w:rsidR="00887E86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0FA94BDC" w14:textId="2E78F95D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89521D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Klauzula automatycznego pokrycia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4268F4AC" w14:textId="77777777" w:rsidR="00887E86" w:rsidRPr="004340D0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340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120% sumy ubezpieczenia określonej w dokumencie</w:t>
            </w:r>
          </w:p>
          <w:p w14:paraId="6CD002D2" w14:textId="282EC114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340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ubezpieczenia, jednak nie więcej niż 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1</w:t>
            </w:r>
            <w:r w:rsidRPr="004340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 </w:t>
            </w:r>
            <w:r w:rsidRPr="004340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000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 </w:t>
            </w:r>
            <w:r w:rsidRPr="004340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000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3093292" w14:textId="55064D43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0A67AFCE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5C95FE1E" w14:textId="2AF190DD" w:rsidR="00887E86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27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0142A14A" w14:textId="75C6EE90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</w:t>
            </w:r>
            <w:r w:rsidRPr="00EE09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lauzul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a</w:t>
            </w:r>
            <w:r w:rsidRPr="00EE09D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 automatycznego pokrycia nowych lokalizacji</w:t>
            </w:r>
          </w:p>
        </w:tc>
        <w:tc>
          <w:tcPr>
            <w:tcW w:w="1853" w:type="dxa"/>
            <w:vMerge w:val="restart"/>
            <w:shd w:val="clear" w:color="000000" w:fill="FFFFFF"/>
            <w:vAlign w:val="center"/>
          </w:tcPr>
          <w:p w14:paraId="743245EF" w14:textId="5510F6F8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Cs w:val="20"/>
                <w:lang w:eastAsia="pl-PL"/>
              </w:rPr>
              <w:t>2 000 000,00 PLN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7B1C88D" w14:textId="70698325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0E2652EB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03CE44F5" w14:textId="104F4727" w:rsidR="00887E86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28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4A8FFB6F" w14:textId="77777777" w:rsidR="00887E86" w:rsidRPr="002B2FB0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M</w:t>
            </w:r>
            <w:r w:rsidRPr="002B2FB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ieni</w:t>
            </w:r>
            <w:r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e</w:t>
            </w:r>
            <w:r w:rsidRPr="002B2FB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 xml:space="preserve"> tymczasowo znajdujące się</w:t>
            </w:r>
          </w:p>
          <w:p w14:paraId="1B3826F3" w14:textId="10ADAEEA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2B2FB0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w lokalizacjach obcych</w:t>
            </w:r>
          </w:p>
        </w:tc>
        <w:tc>
          <w:tcPr>
            <w:tcW w:w="1853" w:type="dxa"/>
            <w:vMerge/>
            <w:shd w:val="clear" w:color="000000" w:fill="FFFFFF"/>
            <w:vAlign w:val="center"/>
          </w:tcPr>
          <w:p w14:paraId="543AF7BE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53F0817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</w:p>
        </w:tc>
      </w:tr>
      <w:tr w:rsidR="00887E86" w:rsidRPr="004D2D3F" w14:paraId="7CF683E9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3CF820C" w14:textId="4C6966FA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29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1ABCC84D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Klauzula prewencyjna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575CDF74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20F548CC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5EFD32CE" w14:textId="77777777" w:rsidTr="00D45D1C">
        <w:trPr>
          <w:trHeight w:val="29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82F7EA1" w14:textId="02A06D6D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30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71199910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Koszty rzeczoznawców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7E11EBF3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200 000,00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095D446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3320FE68" w14:textId="77777777" w:rsidTr="00D45D1C">
        <w:trPr>
          <w:trHeight w:val="300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3292FD93" w14:textId="5F929196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31</w:t>
            </w:r>
          </w:p>
        </w:tc>
        <w:tc>
          <w:tcPr>
            <w:tcW w:w="4296" w:type="dxa"/>
            <w:shd w:val="clear" w:color="000000" w:fill="FFFFFF"/>
            <w:vAlign w:val="center"/>
            <w:hideMark/>
          </w:tcPr>
          <w:p w14:paraId="4C16CA17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Klauzula niezabezpieczonych otworów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2153BE75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200 000,00 PLN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24BE49C6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  <w:tr w:rsidR="00887E86" w:rsidRPr="004D2D3F" w14:paraId="23D879D3" w14:textId="77777777" w:rsidTr="004A126B">
        <w:trPr>
          <w:trHeight w:val="676"/>
          <w:jc w:val="center"/>
        </w:trPr>
        <w:tc>
          <w:tcPr>
            <w:tcW w:w="601" w:type="dxa"/>
            <w:shd w:val="clear" w:color="auto" w:fill="043E71"/>
            <w:vAlign w:val="center"/>
          </w:tcPr>
          <w:p w14:paraId="13CCAE94" w14:textId="74755690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szCs w:val="20"/>
                <w:lang w:eastAsia="pl-PL"/>
              </w:rPr>
              <w:t>32</w:t>
            </w:r>
          </w:p>
        </w:tc>
        <w:tc>
          <w:tcPr>
            <w:tcW w:w="4296" w:type="dxa"/>
            <w:shd w:val="clear" w:color="000000" w:fill="FFFFFF"/>
            <w:vAlign w:val="center"/>
          </w:tcPr>
          <w:p w14:paraId="2E523297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Ryzyko trzęsienia ziemi, zapadania lub osuwania się ziemi</w:t>
            </w:r>
          </w:p>
        </w:tc>
        <w:tc>
          <w:tcPr>
            <w:tcW w:w="1853" w:type="dxa"/>
            <w:shd w:val="clear" w:color="000000" w:fill="FFFFFF"/>
            <w:vAlign w:val="center"/>
          </w:tcPr>
          <w:p w14:paraId="226BA7FE" w14:textId="6F521EF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500</w:t>
            </w:r>
            <w:r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 </w:t>
            </w:r>
            <w:r w:rsidRPr="004D2D3F">
              <w:rPr>
                <w:rFonts w:ascii="Segoe UI" w:eastAsia="Times New Roman" w:hAnsi="Segoe UI" w:cs="Segoe UI"/>
                <w:szCs w:val="20"/>
                <w:lang w:eastAsia="pl-PL"/>
              </w:rPr>
              <w:t>000,00 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188CA6" w14:textId="77777777" w:rsidR="00887E86" w:rsidRPr="004D2D3F" w:rsidRDefault="00887E86" w:rsidP="00887E8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</w:pPr>
            <w:r w:rsidRPr="004D2D3F">
              <w:rPr>
                <w:rFonts w:ascii="Segoe UI" w:eastAsia="Times New Roman" w:hAnsi="Segoe UI" w:cs="Segoe UI"/>
                <w:color w:val="000000"/>
                <w:szCs w:val="20"/>
                <w:lang w:eastAsia="pl-PL"/>
              </w:rPr>
              <w:t>limit na jedno i wszystkie zdarzenia</w:t>
            </w:r>
          </w:p>
        </w:tc>
      </w:tr>
    </w:tbl>
    <w:p w14:paraId="65C79CCF" w14:textId="77777777" w:rsidR="005435F4" w:rsidRPr="00D35139" w:rsidRDefault="005435F4" w:rsidP="00040719">
      <w:pPr>
        <w:jc w:val="both"/>
        <w:rPr>
          <w:rFonts w:ascii="Segoe UI" w:hAnsi="Segoe UI"/>
          <w:lang w:eastAsia="pl-PL"/>
        </w:rPr>
      </w:pPr>
    </w:p>
    <w:p w14:paraId="2EF299E3" w14:textId="40FBA3B6" w:rsidR="00BB171D" w:rsidRDefault="00BB171D" w:rsidP="00FA2820">
      <w:pPr>
        <w:pStyle w:val="Nagwek3"/>
        <w:numPr>
          <w:ilvl w:val="0"/>
          <w:numId w:val="13"/>
        </w:numPr>
      </w:pPr>
      <w:r>
        <w:t>KLAUZULE FAKULTATYWNE</w:t>
      </w:r>
    </w:p>
    <w:p w14:paraId="10C46053" w14:textId="77777777" w:rsidR="00255021" w:rsidRPr="00255021" w:rsidRDefault="00255021" w:rsidP="00255021">
      <w:pPr>
        <w:rPr>
          <w:lang w:eastAsia="pl-PL"/>
        </w:rPr>
      </w:pPr>
    </w:p>
    <w:p w14:paraId="6F8863F1" w14:textId="09B8D3A0" w:rsidR="00720456" w:rsidRPr="00B52DE1" w:rsidRDefault="00720456" w:rsidP="00255021">
      <w:pPr>
        <w:autoSpaceDE w:val="0"/>
        <w:autoSpaceDN w:val="0"/>
        <w:adjustRightInd w:val="0"/>
        <w:ind w:firstLine="360"/>
        <w:rPr>
          <w:rFonts w:ascii="Segoe UI" w:eastAsia="Times New Roman" w:hAnsi="Segoe UI" w:cs="Segoe UI"/>
          <w:color w:val="000000"/>
          <w:szCs w:val="20"/>
          <w:lang w:eastAsia="pl-PL"/>
        </w:rPr>
      </w:pPr>
      <w:r w:rsidRPr="00B52DE1">
        <w:rPr>
          <w:rFonts w:ascii="Segoe UI" w:eastAsia="Times New Roman" w:hAnsi="Segoe UI" w:cs="Segoe UI"/>
          <w:b/>
          <w:bCs/>
          <w:color w:val="000000"/>
          <w:szCs w:val="20"/>
          <w:lang w:eastAsia="pl-PL"/>
        </w:rPr>
        <w:t xml:space="preserve">K1 </w:t>
      </w:r>
      <w:r w:rsidRPr="00B52DE1">
        <w:rPr>
          <w:rFonts w:ascii="Segoe UI" w:eastAsia="Times New Roman" w:hAnsi="Segoe UI" w:cs="Segoe UI"/>
          <w:color w:val="000000"/>
          <w:szCs w:val="20"/>
          <w:lang w:eastAsia="pl-PL"/>
        </w:rPr>
        <w:t>Zmiana poziomu franszyzy redukcyjnej</w:t>
      </w:r>
      <w:r w:rsidR="00766F9F">
        <w:rPr>
          <w:rFonts w:ascii="Segoe UI" w:eastAsia="Times New Roman" w:hAnsi="Segoe UI" w:cs="Segoe UI"/>
          <w:color w:val="000000"/>
          <w:szCs w:val="20"/>
          <w:lang w:eastAsia="pl-PL"/>
        </w:rPr>
        <w:t xml:space="preserve"> dla </w:t>
      </w:r>
      <w:r w:rsidR="00766F9F" w:rsidRPr="008545B3">
        <w:rPr>
          <w:rFonts w:ascii="Segoe UI" w:eastAsia="Times New Roman" w:hAnsi="Segoe UI" w:cs="Segoe UI"/>
          <w:color w:val="FF0000"/>
          <w:szCs w:val="20"/>
          <w:lang w:eastAsia="pl-PL"/>
        </w:rPr>
        <w:t xml:space="preserve">sprzętu elektronicznego </w:t>
      </w:r>
      <w:r w:rsidR="00766F9F">
        <w:rPr>
          <w:rFonts w:ascii="Segoe UI" w:eastAsia="Times New Roman" w:hAnsi="Segoe UI" w:cs="Segoe UI"/>
          <w:color w:val="000000"/>
          <w:szCs w:val="20"/>
          <w:lang w:eastAsia="pl-PL"/>
        </w:rPr>
        <w:t xml:space="preserve">wskazanej w OPZ na </w:t>
      </w:r>
    </w:p>
    <w:p w14:paraId="4F2DB064" w14:textId="77777777" w:rsidR="00A476F0" w:rsidRDefault="00766F9F" w:rsidP="00766F9F">
      <w:pPr>
        <w:widowControl w:val="0"/>
        <w:autoSpaceDE w:val="0"/>
        <w:autoSpaceDN w:val="0"/>
        <w:spacing w:after="0" w:line="276" w:lineRule="auto"/>
        <w:ind w:left="1636" w:right="566"/>
        <w:jc w:val="both"/>
        <w:rPr>
          <w:rFonts w:ascii="Segoe UI" w:eastAsia="Times New Roman" w:hAnsi="Segoe UI" w:cs="Segoe UI"/>
          <w:bCs/>
          <w:iCs/>
          <w:szCs w:val="20"/>
          <w:lang w:eastAsia="pl-PL"/>
        </w:rPr>
      </w:pPr>
      <w:r w:rsidRPr="00B52DE1">
        <w:rPr>
          <w:rFonts w:ascii="Segoe UI" w:eastAsia="Times New Roman" w:hAnsi="Segoe UI" w:cs="Segoe UI"/>
          <w:iCs/>
          <w:szCs w:val="20"/>
          <w:lang w:eastAsia="pl-PL"/>
        </w:rPr>
        <w:t xml:space="preserve">Franszyza </w:t>
      </w:r>
      <w:r w:rsidRPr="00B52DE1">
        <w:rPr>
          <w:rFonts w:ascii="Segoe UI" w:eastAsia="Times New Roman" w:hAnsi="Segoe UI" w:cs="Segoe UI"/>
          <w:bCs/>
          <w:iCs/>
          <w:szCs w:val="20"/>
          <w:lang w:eastAsia="pl-PL"/>
        </w:rPr>
        <w:t>redukcyjna</w:t>
      </w:r>
      <w:r>
        <w:rPr>
          <w:rFonts w:ascii="Segoe UI" w:eastAsia="Times New Roman" w:hAnsi="Segoe UI" w:cs="Segoe UI"/>
          <w:bCs/>
          <w:iCs/>
          <w:szCs w:val="20"/>
          <w:lang w:eastAsia="pl-PL"/>
        </w:rPr>
        <w:t>:</w:t>
      </w:r>
      <w:r w:rsidRPr="00B52DE1">
        <w:rPr>
          <w:rFonts w:ascii="Segoe UI" w:eastAsia="Times New Roman" w:hAnsi="Segoe UI" w:cs="Segoe UI"/>
          <w:bCs/>
          <w:iCs/>
          <w:szCs w:val="20"/>
          <w:lang w:eastAsia="pl-PL"/>
        </w:rPr>
        <w:t xml:space="preserve"> </w:t>
      </w:r>
    </w:p>
    <w:p w14:paraId="186EC8CD" w14:textId="5DC4E1AF" w:rsidR="00766F9F" w:rsidRPr="00766F9F" w:rsidRDefault="00766F9F" w:rsidP="00766F9F">
      <w:pPr>
        <w:widowControl w:val="0"/>
        <w:autoSpaceDE w:val="0"/>
        <w:autoSpaceDN w:val="0"/>
        <w:spacing w:after="0" w:line="276" w:lineRule="auto"/>
        <w:ind w:left="1636" w:right="566"/>
        <w:jc w:val="both"/>
        <w:rPr>
          <w:rFonts w:ascii="Segoe UI" w:eastAsia="Times New Roman" w:hAnsi="Segoe UI" w:cs="Segoe UI"/>
          <w:iCs/>
          <w:szCs w:val="20"/>
          <w:lang w:eastAsia="pl-PL"/>
        </w:rPr>
      </w:pPr>
      <w:r>
        <w:rPr>
          <w:rFonts w:ascii="Segoe UI" w:eastAsia="Times New Roman" w:hAnsi="Segoe UI" w:cs="Segoe UI"/>
          <w:b/>
          <w:iCs/>
          <w:szCs w:val="20"/>
          <w:lang w:eastAsia="pl-PL"/>
        </w:rPr>
        <w:t>wariant 1-</w:t>
      </w:r>
      <w:r w:rsidRPr="00766F9F">
        <w:rPr>
          <w:rFonts w:ascii="Segoe UI" w:eastAsia="Times New Roman" w:hAnsi="Segoe UI" w:cs="Segoe UI"/>
          <w:b/>
          <w:iCs/>
          <w:szCs w:val="20"/>
          <w:lang w:eastAsia="pl-PL"/>
        </w:rPr>
        <w:t> </w:t>
      </w:r>
      <w:r>
        <w:rPr>
          <w:rFonts w:ascii="Segoe UI" w:eastAsia="Times New Roman" w:hAnsi="Segoe UI" w:cs="Segoe UI"/>
          <w:b/>
          <w:iCs/>
          <w:szCs w:val="20"/>
          <w:lang w:eastAsia="pl-PL"/>
        </w:rPr>
        <w:t>1</w:t>
      </w:r>
      <w:r w:rsidRPr="00766F9F">
        <w:rPr>
          <w:rFonts w:ascii="Segoe UI" w:eastAsia="Times New Roman" w:hAnsi="Segoe UI" w:cs="Segoe UI"/>
          <w:b/>
          <w:iCs/>
          <w:szCs w:val="20"/>
          <w:lang w:eastAsia="pl-PL"/>
        </w:rPr>
        <w:t>000 PLN</w:t>
      </w:r>
      <w:r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 </w:t>
      </w:r>
      <w:r w:rsidR="00A476F0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 </w:t>
      </w:r>
    </w:p>
    <w:p w14:paraId="1D823360" w14:textId="6512ECCF" w:rsidR="00766F9F" w:rsidRPr="00766F9F" w:rsidRDefault="00766F9F" w:rsidP="00766F9F">
      <w:pPr>
        <w:widowControl w:val="0"/>
        <w:autoSpaceDE w:val="0"/>
        <w:autoSpaceDN w:val="0"/>
        <w:spacing w:after="0" w:line="276" w:lineRule="auto"/>
        <w:ind w:left="1636" w:right="566"/>
        <w:jc w:val="both"/>
        <w:rPr>
          <w:rFonts w:ascii="Segoe UI" w:eastAsia="Times New Roman" w:hAnsi="Segoe UI" w:cs="Segoe UI"/>
          <w:b/>
          <w:iCs/>
          <w:szCs w:val="20"/>
          <w:lang w:eastAsia="pl-PL"/>
        </w:rPr>
      </w:pPr>
      <w:r w:rsidRPr="00766F9F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Wariant 2- 300 </w:t>
      </w:r>
      <w:r w:rsidR="00A476F0">
        <w:rPr>
          <w:rFonts w:ascii="Segoe UI" w:eastAsia="Times New Roman" w:hAnsi="Segoe UI" w:cs="Segoe UI"/>
          <w:b/>
          <w:iCs/>
          <w:szCs w:val="20"/>
          <w:lang w:eastAsia="pl-PL"/>
        </w:rPr>
        <w:t xml:space="preserve">PLN    </w:t>
      </w:r>
    </w:p>
    <w:p w14:paraId="066FD5C7" w14:textId="77777777" w:rsidR="008545B3" w:rsidRDefault="008545B3" w:rsidP="008545B3">
      <w:pPr>
        <w:ind w:left="360"/>
        <w:jc w:val="both"/>
        <w:rPr>
          <w:rFonts w:ascii="Segoe UI" w:eastAsia="Times New Roman" w:hAnsi="Segoe UI" w:cs="Segoe UI"/>
          <w:color w:val="000000"/>
          <w:szCs w:val="20"/>
          <w:lang w:eastAsia="pl-PL"/>
        </w:rPr>
      </w:pPr>
    </w:p>
    <w:p w14:paraId="2C06540F" w14:textId="77777777" w:rsidR="00BB171D" w:rsidRDefault="00BB171D" w:rsidP="00BB171D">
      <w:pPr>
        <w:rPr>
          <w:lang w:eastAsia="pl-PL"/>
        </w:rPr>
      </w:pPr>
    </w:p>
    <w:sectPr w:rsidR="00BB171D" w:rsidSect="00E44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569D" w14:textId="77777777" w:rsidR="003946C2" w:rsidRDefault="003946C2" w:rsidP="00EF7953">
      <w:pPr>
        <w:spacing w:after="0" w:line="240" w:lineRule="auto"/>
      </w:pPr>
      <w:r>
        <w:separator/>
      </w:r>
    </w:p>
  </w:endnote>
  <w:endnote w:type="continuationSeparator" w:id="0">
    <w:p w14:paraId="1AA1F49E" w14:textId="77777777" w:rsidR="003946C2" w:rsidRDefault="003946C2" w:rsidP="00EF7953">
      <w:pPr>
        <w:spacing w:after="0" w:line="240" w:lineRule="auto"/>
      </w:pPr>
      <w:r>
        <w:continuationSeparator/>
      </w:r>
    </w:p>
  </w:endnote>
  <w:endnote w:type="continuationNotice" w:id="1">
    <w:p w14:paraId="6408D603" w14:textId="77777777" w:rsidR="003946C2" w:rsidRDefault="003946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6D45C" w14:textId="77777777" w:rsidR="004341A9" w:rsidRDefault="004341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A476F0" w:rsidRPr="00D15296" w:rsidRDefault="00A476F0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A476F0" w:rsidRPr="00E4402E" w:rsidRDefault="00A476F0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hUxEQIAAP8DAAAOAAAAZHJzL2Uyb0RvYy54bWysU9Fu2yAUfZ+0f0C8L3ZcJ2usOFXXLtOk&#10;bqvU7QMIxjEqcBmQ2NnX74LT1NrepvkBge+9h3vOPaxvBq3IUTgvwdR0PsspEYZDI82+pj++b99d&#10;U+IDMw1TYERNT8LTm83bN+veVqKADlQjHEEQ46ve1rQLwVZZ5nknNPMzsMJgsAWnWcCj22eNYz2i&#10;a5UVeb7MenCNdcCF9/j3fgzSTcJvW8HDt7b1IhBVU+wtpNWldRfXbLNm1d4x20l+boP9QxeaSYOX&#10;XqDuWWDk4ORfUFpyBx7aMOOgM2hbyUXigGzm+R9snjpmReKC4nh7kcn/P1j+9fjoiGxwdpQYpnFE&#10;j6AECeLZB+gFKaJEvfUVZj5ZzA3DBxhieqTr7QPwZ08M3HXM7MWtc9B3gjXY4jxWZpPSEcdHkF3/&#10;BRq8ix0CJKChdToCoiIE0XFUp8t4xBAIx5/F1TJfXWGIY2xe5uWySAPMWPVSbp0PnwRoEjc1dTj/&#10;BM+ODz7Edlj1khJvM7CVSiUPKEP6mq4WxSIVTCJaBrSokrqm13n8RtNElh9Nk4oDk2rc4wXKnGlH&#10;piPnMOyGs8iYHyXZQXNCHRyMjsQXhJsO3C9KenRjTf3PA3OCEvXZoJareVlG+6ZDuXiPxImbRnbT&#10;CDMcoWoaKBm3dyFZfpzYLWq+lUmN107OLaPLkkjnFxFtPD2nrNd3u/kNAAD//wMAUEsDBBQABgAI&#10;AAAAIQD7jWMD2wAAAAYBAAAPAAAAZHJzL2Rvd25yZXYueG1sTI9LT8MwEITvSPwHa5G4UadpS1Ea&#10;p0I8JI70JXF0400c1V5HsduGf89ygtNqNKPZb8r16J244BC7QAqmkwwEUh1MR62C/e794QlETJqM&#10;doFQwTdGWFe3N6UuTLjSBi/b1AouoVhoBTalvpAy1ha9jpPQI7HXhMHrxHJopRn0lcu9k3mWPUqv&#10;O+IPVvf4YrE+bc9ewYG+3EczNxaXi8/5pn97bRZpp9T93fi8ApFwTH9h+MVndKiY6RjOZKJwCnhI&#10;UpDzYXO2nPKOI+t8loOsSvkfv/oBAAD//wMAUEsBAi0AFAAGAAgAAAAhALaDOJL+AAAA4QEAABMA&#10;AAAAAAAAAAAAAAAAAAAAAFtDb250ZW50X1R5cGVzXS54bWxQSwECLQAUAAYACAAAACEAOP0h/9YA&#10;AACUAQAACwAAAAAAAAAAAAAAAAAvAQAAX3JlbHMvLnJlbHNQSwECLQAUAAYACAAAACEAtc4VMREC&#10;AAD/AwAADgAAAAAAAAAAAAAAAAAuAgAAZHJzL2Uyb0RvYy54bWxQSwECLQAUAAYACAAAACEA+41j&#10;A9sAAAAGAQAADwAAAAAAAAAAAAAAAABrBAAAZHJzL2Rvd25yZXYueG1sUEsFBgAAAAAEAAQA8wAA&#10;AHMFAAAAAA==&#10;" filled="f" stroked="f">
              <v:textbox style="mso-fit-shape-to-text:t">
                <w:txbxContent>
                  <w:p w14:paraId="2C7C1DB6" w14:textId="6EDEFBC0" w:rsidR="00A476F0" w:rsidRPr="00E4402E" w:rsidRDefault="00A476F0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A476F0" w:rsidRDefault="00A476F0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A476F0" w:rsidRDefault="00A476F0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A476F0" w:rsidRPr="001C4045" w:rsidRDefault="00A476F0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A476F0" w:rsidRPr="00994E2E" w:rsidRDefault="00A476F0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A476F0" w:rsidRPr="00D15296" w:rsidRDefault="00A476F0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A476F0" w:rsidRPr="00994E2E" w:rsidRDefault="00A476F0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5CB33" w14:textId="77777777" w:rsidR="003946C2" w:rsidRDefault="003946C2" w:rsidP="00EF7953">
      <w:pPr>
        <w:spacing w:after="0" w:line="240" w:lineRule="auto"/>
      </w:pPr>
      <w:r>
        <w:separator/>
      </w:r>
    </w:p>
  </w:footnote>
  <w:footnote w:type="continuationSeparator" w:id="0">
    <w:p w14:paraId="6C89C848" w14:textId="77777777" w:rsidR="003946C2" w:rsidRDefault="003946C2" w:rsidP="00EF7953">
      <w:pPr>
        <w:spacing w:after="0" w:line="240" w:lineRule="auto"/>
      </w:pPr>
      <w:r>
        <w:continuationSeparator/>
      </w:r>
    </w:p>
  </w:footnote>
  <w:footnote w:type="continuationNotice" w:id="1">
    <w:p w14:paraId="22FB8BE5" w14:textId="77777777" w:rsidR="003946C2" w:rsidRDefault="003946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26BBB" w14:textId="77777777" w:rsidR="004341A9" w:rsidRDefault="004341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44C664F7" w:rsidR="00A476F0" w:rsidRDefault="00A476F0">
    <w:pPr>
      <w:pStyle w:val="Nagwek"/>
      <w:rPr>
        <w:noProof/>
        <w:lang w:eastAsia="pl-PL"/>
      </w:rPr>
    </w:pPr>
  </w:p>
  <w:p w14:paraId="0A1C3EC3" w14:textId="77777777" w:rsidR="004341A9" w:rsidRDefault="004341A9">
    <w:pPr>
      <w:pStyle w:val="Nagwek"/>
    </w:pPr>
  </w:p>
  <w:p w14:paraId="68C774FD" w14:textId="5194DCFE" w:rsidR="00A476F0" w:rsidRDefault="004341A9">
    <w:pPr>
      <w:pStyle w:val="Nagwek"/>
    </w:pPr>
    <w:r>
      <w:rPr>
        <w:noProof/>
      </w:rPr>
      <w:drawing>
        <wp:inline distT="0" distB="0" distL="0" distR="0" wp14:anchorId="56EEEB17" wp14:editId="26BDC3FF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476F0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F414344" wp14:editId="22BAA601">
              <wp:simplePos x="0" y="0"/>
              <wp:positionH relativeFrom="margin">
                <wp:posOffset>3118485</wp:posOffset>
              </wp:positionH>
              <wp:positionV relativeFrom="paragraph">
                <wp:posOffset>271780</wp:posOffset>
              </wp:positionV>
              <wp:extent cx="3314700" cy="5334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3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BAEC29" w14:textId="528F8E3C" w:rsidR="00A476F0" w:rsidRPr="00EC24CA" w:rsidRDefault="00A476F0">
                          <w:pPr>
                            <w:rPr>
                              <w:rFonts w:ascii="Calibri" w:hAnsi="Calibri"/>
                              <w:color w:val="1F497D"/>
                            </w:rPr>
                          </w:pPr>
                          <w:r w:rsidRPr="004D2D3F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Załącznik nr</w:t>
                          </w:r>
                          <w:r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1 I 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do </w:t>
                          </w:r>
                          <w:r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UMOWY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1434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45.55pt;margin-top:21.4pt;width:261pt;height:42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/1JDwIAAPkDAAAOAAAAZHJzL2Uyb0RvYy54bWysU9tuGyEQfa/Uf0C813ux3SQr4yhNmqpS&#10;2kZK+wGYZb0owFDA3nW/vgPrOFb7VnUfVgMzc5hzOKyuR6PJXvqgwDJazUpKpBXQKrtl9Mf3+3eX&#10;lITIbcs1WMnoQQZ6vX77ZjW4RtbQg26lJwhiQzM4RvsYXVMUQfTS8DADJy0mO/CGR1z6bdF6PiC6&#10;0UVdlu+LAXzrPAgZAu7eTUm6zvhdJ0X81nVBRqIZxdli/vv836R/sV7xZuu565U4jsH/YQrDlcVD&#10;T1B3PHKy8+ovKKOEhwBdnAkwBXSdEjJzQDZV+Qebp547mbmgOMGdZAr/D1Z83T96olpG6+qCEssN&#10;XtIjaEmifA4RBknqJNLgQoO1Tw6r4/gBRrzsTDi4BxDPgVi47bndyhvvYeglb3HIKnUWZ60TTkgg&#10;m+ELtHgW30XIQGPnTVIQNSGIjpd1OF2QHCMRuDmfV4uLElMCc8v5fIFxOoI3L93Oh/hJgiEpYNSj&#10;ATI63z+EOJW+lKTDLNwrrXGfN9qSgdGrZb3MDWcZoyJ6VCvD6GWZvsk1ieRH2+bmyJWeYpxF2yPr&#10;RHSiHMfNiIVJig20B+TvYfIivh0MevC/KBnQh4yGnzvuJSX6s0UNr6rFIhk3LxbLixoX/jyzOc9w&#10;KxCK0UjJFN7GbPaJ6w1q3aksw+skx1nRX1nI41tIBj5f56rXF7v+DQAA//8DAFBLAwQUAAYACAAA&#10;ACEAjGKPfd4AAAALAQAADwAAAGRycy9kb3ducmV2LnhtbEyPQW/CMAyF75P2HyIj7TaSdgxBaYqm&#10;TbtuGhtI3EJj2orGqZpAu38/cxq3Z/vp+Xv5enStuGAfGk8akqkCgVR621Cl4ef7/XEBIkRD1rSe&#10;UMMvBlgX93e5yawf6Asvm1gJDqGQGQ11jF0mZShrdCZMfYfEt6PvnYk89pW0vRk43LUyVWounWmI&#10;P9Smw9cay9Pm7DRsP4773Ux9Vm/uuRv8qCS5pdT6YTK+rEBEHOO/Ga74jA4FMx38mWwQrYbZMknY&#10;yiLlCleDSp54c2CVzhcgi1zedij+AAAA//8DAFBLAQItABQABgAIAAAAIQC2gziS/gAAAOEBAAAT&#10;AAAAAAAAAAAAAAAAAAAAAABbQ29udGVudF9UeXBlc10ueG1sUEsBAi0AFAAGAAgAAAAhADj9If/W&#10;AAAAlAEAAAsAAAAAAAAAAAAAAAAALwEAAF9yZWxzLy5yZWxzUEsBAi0AFAAGAAgAAAAhAG+v/UkP&#10;AgAA+QMAAA4AAAAAAAAAAAAAAAAALgIAAGRycy9lMm9Eb2MueG1sUEsBAi0AFAAGAAgAAAAhAIxi&#10;j33eAAAACwEAAA8AAAAAAAAAAAAAAAAAaQQAAGRycy9kb3ducmV2LnhtbFBLBQYAAAAABAAEAPMA&#10;AAB0BQAAAAA=&#10;" filled="f" stroked="f">
              <v:textbox>
                <w:txbxContent>
                  <w:p w14:paraId="35BAEC29" w14:textId="528F8E3C" w:rsidR="00A476F0" w:rsidRPr="00EC24CA" w:rsidRDefault="00A476F0">
                    <w:pPr>
                      <w:rPr>
                        <w:rFonts w:ascii="Calibri" w:hAnsi="Calibri"/>
                        <w:color w:val="1F497D"/>
                      </w:rPr>
                    </w:pPr>
                    <w:r w:rsidRPr="004D2D3F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Załącznik nr</w:t>
                    </w:r>
                    <w:r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 xml:space="preserve"> 1 I 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do </w:t>
                    </w:r>
                    <w:r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UMOWY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0EC74C40" w:rsidR="00A476F0" w:rsidRDefault="00A476F0">
    <w:pPr>
      <w:pStyle w:val="Nagwek"/>
      <w:rPr>
        <w:noProof/>
        <w:lang w:eastAsia="pl-PL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15770664" wp14:editId="5424E5C6">
              <wp:simplePos x="0" y="0"/>
              <wp:positionH relativeFrom="margin">
                <wp:posOffset>2996565</wp:posOffset>
              </wp:positionH>
              <wp:positionV relativeFrom="paragraph">
                <wp:posOffset>373380</wp:posOffset>
              </wp:positionV>
              <wp:extent cx="3291840" cy="541020"/>
              <wp:effectExtent l="0" t="0" r="0" b="0"/>
              <wp:wrapNone/>
              <wp:docPr id="5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184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5AE3A6" w14:textId="77777777" w:rsidR="00A476F0" w:rsidRPr="004D2D3F" w:rsidRDefault="00A476F0" w:rsidP="004D2D3F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172E8FC6" w14:textId="448C6117" w:rsidR="00A476F0" w:rsidRPr="001A63AE" w:rsidRDefault="00A476F0" w:rsidP="00D514DB">
                          <w:pPr>
                            <w:jc w:val="right"/>
                            <w:rPr>
                              <w:rFonts w:ascii="Calibri" w:hAnsi="Calibri"/>
                              <w:color w:val="1F497D"/>
                            </w:rPr>
                          </w:pPr>
                          <w:r>
                            <w:rPr>
                              <w:rFonts w:ascii="Calibri" w:hAnsi="Calibri"/>
                              <w:color w:val="1F497D"/>
                            </w:rPr>
                            <w:t>Załącznik nr 1 I</w:t>
                          </w:r>
                        </w:p>
                        <w:p w14:paraId="41DC16D8" w14:textId="704E5DF1" w:rsidR="00A476F0" w:rsidRPr="004D2D3F" w:rsidRDefault="00A476F0" w:rsidP="004D2D3F">
                          <w:pPr>
                            <w:ind w:left="426"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</w:p>
                        <w:p w14:paraId="33653782" w14:textId="77777777" w:rsidR="00A476F0" w:rsidRPr="004D2D3F" w:rsidRDefault="00A476F0" w:rsidP="004D2D3F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706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35.95pt;margin-top:29.4pt;width:259.2pt;height:42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RjEQIAAP8DAAAOAAAAZHJzL2Uyb0RvYy54bWysU9tuEzEQfUfiHyy/k72QQLKKU5WWIqQC&#10;lQof4Hi9Wau2x9hOdsPXd+xNQwRviH2wxjszZ+acGa+vRqPJQfqgwDJazUpKpBXQKrtj9Mf3uzdL&#10;SkLktuUarGT0KAO92rx+tR5cI2voQbfSEwSxoRkco32MrimKIHppeJiBkxadHXjDI179rmg9HxDd&#10;6KIuy3fFAL51HoQMAf/eTk66yfhdJ0X81nVBRqIZxd5iPn0+t+ksNmve7Dx3vRKnNvg/dGG4slj0&#10;DHXLIyd7r/6CMkp4CNDFmQBTQNcpITMHZFOVf7B57LmTmQuKE9xZpvD/YMXXw4MnqmV0UVNiucEZ&#10;PYCWJMqnEGGQpE4aDS40GProMDiOH2DEWWe+wd2DeArEwk3P7U5eew9DL3mLPVYps7hInXBCAtkO&#10;X6DFWnwfIQONnTdJQJSEIDrO6niejxwjEfjzbb2qlnN0CfQt5lVZ5wEWvHnJdj7ETxIMSQajHuef&#10;0fnhPsTUDW9eQlIxC3dK67wD2pKB0dWiXuSEC49REVdUK8PoskzftDSJ5Efb5uTIlZ5sLKDtiXUi&#10;OlGO43bMIp/F3EJ7RBk8TBuJLwiNHvwvSgbcRkbDzz33khL92aKUq2qeeMd8mS/eI3HiLz3bSw+3&#10;AqEYjZRM5k3MKz9RvkbJO5XVSLOZOjm1jFuWRTq9iLTGl/cc9fvdbp4BAAD//wMAUEsDBBQABgAI&#10;AAAAIQBjZncJ3gAAAAoBAAAPAAAAZHJzL2Rvd25yZXYueG1sTI/LTsMwEEX3SPyDNUjsqF1IoQlx&#10;KgRiC6I8JHbTeJpExOModpvw9wwrWI7m6N5zy83se3WkMXaBLSwXBhRxHVzHjYW318eLNaiYkB32&#10;gcnCN0XYVKcnJRYuTPxCx21qlIRwLNBCm9JQaB3rljzGRRiI5bcPo8ck59hoN+Ik4b7Xl8Zca48d&#10;S0OLA923VH9tD97C+9P+8yMzz82DXw1TmI1mn2trz8/mu1tQieb0B8OvvqhDJU67cGAXVW8hu1nm&#10;glpYrWWCAHlurkDthMwyA7oq9f8J1Q8AAAD//wMAUEsBAi0AFAAGAAgAAAAhALaDOJL+AAAA4QEA&#10;ABMAAAAAAAAAAAAAAAAAAAAAAFtDb250ZW50X1R5cGVzXS54bWxQSwECLQAUAAYACAAAACEAOP0h&#10;/9YAAACUAQAACwAAAAAAAAAAAAAAAAAvAQAAX3JlbHMvLnJlbHNQSwECLQAUAAYACAAAACEAxlnE&#10;YxECAAD/AwAADgAAAAAAAAAAAAAAAAAuAgAAZHJzL2Uyb0RvYy54bWxQSwECLQAUAAYACAAAACEA&#10;Y2Z3Cd4AAAAKAQAADwAAAAAAAAAAAAAAAABrBAAAZHJzL2Rvd25yZXYueG1sUEsFBgAAAAAEAAQA&#10;8wAAAHYFAAAAAA==&#10;" filled="f" stroked="f">
              <v:textbox>
                <w:txbxContent>
                  <w:p w14:paraId="285AE3A6" w14:textId="77777777" w:rsidR="00A476F0" w:rsidRPr="004D2D3F" w:rsidRDefault="00A476F0" w:rsidP="004D2D3F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172E8FC6" w14:textId="448C6117" w:rsidR="00A476F0" w:rsidRPr="001A63AE" w:rsidRDefault="00A476F0" w:rsidP="00D514DB">
                    <w:pPr>
                      <w:jc w:val="right"/>
                      <w:rPr>
                        <w:rFonts w:ascii="Calibri" w:hAnsi="Calibri"/>
                        <w:color w:val="1F497D"/>
                      </w:rPr>
                    </w:pPr>
                    <w:r>
                      <w:rPr>
                        <w:rFonts w:ascii="Calibri" w:hAnsi="Calibri"/>
                        <w:color w:val="1F497D"/>
                      </w:rPr>
                      <w:t>Załącznik nr 1 I</w:t>
                    </w:r>
                  </w:p>
                  <w:p w14:paraId="41DC16D8" w14:textId="704E5DF1" w:rsidR="00A476F0" w:rsidRPr="004D2D3F" w:rsidRDefault="00A476F0" w:rsidP="004D2D3F">
                    <w:pPr>
                      <w:ind w:left="426"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</w:p>
                  <w:p w14:paraId="33653782" w14:textId="77777777" w:rsidR="00A476F0" w:rsidRPr="004D2D3F" w:rsidRDefault="00A476F0" w:rsidP="004D2D3F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0EC4F1D2" w14:textId="00ABD849" w:rsidR="004341A9" w:rsidRDefault="004341A9">
    <w:pPr>
      <w:pStyle w:val="Nagwek"/>
    </w:pPr>
    <w:r>
      <w:rPr>
        <w:noProof/>
      </w:rPr>
      <w:drawing>
        <wp:inline distT="0" distB="0" distL="0" distR="0" wp14:anchorId="5B95182C" wp14:editId="01CD3DE9">
          <wp:extent cx="1152525" cy="530225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3662"/>
    <w:multiLevelType w:val="hybridMultilevel"/>
    <w:tmpl w:val="13C00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1887"/>
    <w:multiLevelType w:val="hybridMultilevel"/>
    <w:tmpl w:val="480EA0B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6EA6C81"/>
    <w:multiLevelType w:val="hybridMultilevel"/>
    <w:tmpl w:val="E4FAF6E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0C2037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1122451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27F3419"/>
    <w:multiLevelType w:val="hybridMultilevel"/>
    <w:tmpl w:val="45F43246"/>
    <w:lvl w:ilvl="0" w:tplc="E75C617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" w15:restartNumberingAfterBreak="0">
    <w:nsid w:val="14703C27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5E2255A"/>
    <w:multiLevelType w:val="hybridMultilevel"/>
    <w:tmpl w:val="5D7E0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233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19173365"/>
    <w:multiLevelType w:val="hybridMultilevel"/>
    <w:tmpl w:val="D85CDFD6"/>
    <w:lvl w:ilvl="0" w:tplc="1A7A2DC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0" w15:restartNumberingAfterBreak="0">
    <w:nsid w:val="1C7562BA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D992B4E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1E607AA8"/>
    <w:multiLevelType w:val="hybridMultilevel"/>
    <w:tmpl w:val="480EA0B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ED924B4"/>
    <w:multiLevelType w:val="hybridMultilevel"/>
    <w:tmpl w:val="14AC711C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1F54235C"/>
    <w:multiLevelType w:val="hybridMultilevel"/>
    <w:tmpl w:val="8E3A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20250"/>
    <w:multiLevelType w:val="hybridMultilevel"/>
    <w:tmpl w:val="D0B8B340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266F31DE"/>
    <w:multiLevelType w:val="hybridMultilevel"/>
    <w:tmpl w:val="94E6B9E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28D403A4"/>
    <w:multiLevelType w:val="hybridMultilevel"/>
    <w:tmpl w:val="C87014E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B9F3960"/>
    <w:multiLevelType w:val="hybridMultilevel"/>
    <w:tmpl w:val="BAD61566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2D2929B0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30492842"/>
    <w:multiLevelType w:val="hybridMultilevel"/>
    <w:tmpl w:val="70C26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07C11"/>
    <w:multiLevelType w:val="hybridMultilevel"/>
    <w:tmpl w:val="CDF84940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2" w15:restartNumberingAfterBreak="0">
    <w:nsid w:val="320A6CEA"/>
    <w:multiLevelType w:val="hybridMultilevel"/>
    <w:tmpl w:val="2ED4E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B51FF"/>
    <w:multiLevelType w:val="hybridMultilevel"/>
    <w:tmpl w:val="E550B23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33AE509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362A338B"/>
    <w:multiLevelType w:val="hybridMultilevel"/>
    <w:tmpl w:val="0D6ADD2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371908B1"/>
    <w:multiLevelType w:val="hybridMultilevel"/>
    <w:tmpl w:val="C10EDFA0"/>
    <w:lvl w:ilvl="0" w:tplc="8A204FE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9E6E5B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398F5EBF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 w15:restartNumberingAfterBreak="0">
    <w:nsid w:val="399301F0"/>
    <w:multiLevelType w:val="hybridMultilevel"/>
    <w:tmpl w:val="1DF6E9E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3C81741D"/>
    <w:multiLevelType w:val="hybridMultilevel"/>
    <w:tmpl w:val="FFDA09C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3DEA0C0B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3E090F69"/>
    <w:multiLevelType w:val="hybridMultilevel"/>
    <w:tmpl w:val="74B249D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3EA21B6F"/>
    <w:multiLevelType w:val="hybridMultilevel"/>
    <w:tmpl w:val="52BA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56519"/>
    <w:multiLevelType w:val="hybridMultilevel"/>
    <w:tmpl w:val="3276238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8D4295C"/>
    <w:multiLevelType w:val="hybridMultilevel"/>
    <w:tmpl w:val="F04AC828"/>
    <w:lvl w:ilvl="0" w:tplc="1A7A2D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9770D2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4B7E7147"/>
    <w:multiLevelType w:val="hybridMultilevel"/>
    <w:tmpl w:val="17C426E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4E641D81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4F5815D0"/>
    <w:multiLevelType w:val="hybridMultilevel"/>
    <w:tmpl w:val="C10EDFA0"/>
    <w:lvl w:ilvl="0" w:tplc="8A204FE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063CC1"/>
    <w:multiLevelType w:val="hybridMultilevel"/>
    <w:tmpl w:val="DC264BBE"/>
    <w:lvl w:ilvl="0" w:tplc="17E2C146">
      <w:start w:val="1"/>
      <w:numFmt w:val="decimal"/>
      <w:lvlText w:val="%1)"/>
      <w:lvlJc w:val="left"/>
      <w:pPr>
        <w:ind w:left="149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 w15:restartNumberingAfterBreak="0">
    <w:nsid w:val="504364C9"/>
    <w:multiLevelType w:val="hybridMultilevel"/>
    <w:tmpl w:val="734EE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032833"/>
    <w:multiLevelType w:val="hybridMultilevel"/>
    <w:tmpl w:val="C4240DB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51B25866"/>
    <w:multiLevelType w:val="hybridMultilevel"/>
    <w:tmpl w:val="F2B6D5CE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 w15:restartNumberingAfterBreak="0">
    <w:nsid w:val="55E74F72"/>
    <w:multiLevelType w:val="hybridMultilevel"/>
    <w:tmpl w:val="2976184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58C11E1A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58D230B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5A757BA1"/>
    <w:multiLevelType w:val="hybridMultilevel"/>
    <w:tmpl w:val="4FE45320"/>
    <w:lvl w:ilvl="0" w:tplc="0415000F">
      <w:start w:val="1"/>
      <w:numFmt w:val="decimal"/>
      <w:lvlText w:val="%1."/>
      <w:lvlJc w:val="left"/>
      <w:pPr>
        <w:ind w:left="2356" w:hanging="360"/>
      </w:p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48" w15:restartNumberingAfterBreak="0">
    <w:nsid w:val="5AE431EF"/>
    <w:multiLevelType w:val="hybridMultilevel"/>
    <w:tmpl w:val="D358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6D3BBF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64AE446B"/>
    <w:multiLevelType w:val="hybridMultilevel"/>
    <w:tmpl w:val="8A3E09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CD310A"/>
    <w:multiLevelType w:val="multilevel"/>
    <w:tmpl w:val="161EE190"/>
    <w:lvl w:ilvl="0">
      <w:start w:val="1"/>
      <w:numFmt w:val="bullet"/>
      <w:lvlText w:val=""/>
      <w:lvlJc w:val="left"/>
      <w:pPr>
        <w:tabs>
          <w:tab w:val="num" w:pos="0"/>
        </w:tabs>
        <w:ind w:left="568" w:hanging="283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F91662B"/>
    <w:multiLevelType w:val="hybridMultilevel"/>
    <w:tmpl w:val="F926C92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70F532A5"/>
    <w:multiLevelType w:val="hybridMultilevel"/>
    <w:tmpl w:val="5032DF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2114F13"/>
    <w:multiLevelType w:val="hybridMultilevel"/>
    <w:tmpl w:val="FAB46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1300D2"/>
    <w:multiLevelType w:val="hybridMultilevel"/>
    <w:tmpl w:val="33FCC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2D1EBE"/>
    <w:multiLevelType w:val="hybridMultilevel"/>
    <w:tmpl w:val="8642F674"/>
    <w:lvl w:ilvl="0" w:tplc="413E5A6A">
      <w:start w:val="1"/>
      <w:numFmt w:val="lowerLetter"/>
      <w:lvlText w:val="%1)"/>
      <w:lvlJc w:val="left"/>
      <w:pPr>
        <w:ind w:left="107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440C18"/>
    <w:multiLevelType w:val="hybridMultilevel"/>
    <w:tmpl w:val="92FC3384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7B374EE4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9" w15:restartNumberingAfterBreak="0">
    <w:nsid w:val="7C657052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0" w15:restartNumberingAfterBreak="0">
    <w:nsid w:val="7CB74D0D"/>
    <w:multiLevelType w:val="hybridMultilevel"/>
    <w:tmpl w:val="12CC6FB6"/>
    <w:lvl w:ilvl="0" w:tplc="D4B23260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D1728DA"/>
    <w:multiLevelType w:val="hybridMultilevel"/>
    <w:tmpl w:val="37368EC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7DB568F1"/>
    <w:multiLevelType w:val="hybridMultilevel"/>
    <w:tmpl w:val="74B249D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3" w15:restartNumberingAfterBreak="0">
    <w:nsid w:val="7E9B497C"/>
    <w:multiLevelType w:val="hybridMultilevel"/>
    <w:tmpl w:val="9500BAD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40"/>
  </w:num>
  <w:num w:numId="2">
    <w:abstractNumId w:val="61"/>
  </w:num>
  <w:num w:numId="3">
    <w:abstractNumId w:val="50"/>
  </w:num>
  <w:num w:numId="4">
    <w:abstractNumId w:val="51"/>
  </w:num>
  <w:num w:numId="5">
    <w:abstractNumId w:val="30"/>
  </w:num>
  <w:num w:numId="6">
    <w:abstractNumId w:val="52"/>
  </w:num>
  <w:num w:numId="7">
    <w:abstractNumId w:val="12"/>
  </w:num>
  <w:num w:numId="8">
    <w:abstractNumId w:val="25"/>
  </w:num>
  <w:num w:numId="9">
    <w:abstractNumId w:val="5"/>
  </w:num>
  <w:num w:numId="10">
    <w:abstractNumId w:val="44"/>
  </w:num>
  <w:num w:numId="11">
    <w:abstractNumId w:val="29"/>
  </w:num>
  <w:num w:numId="12">
    <w:abstractNumId w:val="2"/>
  </w:num>
  <w:num w:numId="13">
    <w:abstractNumId w:val="26"/>
  </w:num>
  <w:num w:numId="14">
    <w:abstractNumId w:val="55"/>
  </w:num>
  <w:num w:numId="15">
    <w:abstractNumId w:val="18"/>
  </w:num>
  <w:num w:numId="16">
    <w:abstractNumId w:val="24"/>
  </w:num>
  <w:num w:numId="17">
    <w:abstractNumId w:val="45"/>
  </w:num>
  <w:num w:numId="18">
    <w:abstractNumId w:val="13"/>
  </w:num>
  <w:num w:numId="19">
    <w:abstractNumId w:val="19"/>
  </w:num>
  <w:num w:numId="20">
    <w:abstractNumId w:val="31"/>
  </w:num>
  <w:num w:numId="21">
    <w:abstractNumId w:val="3"/>
  </w:num>
  <w:num w:numId="22">
    <w:abstractNumId w:val="36"/>
  </w:num>
  <w:num w:numId="23">
    <w:abstractNumId w:val="63"/>
  </w:num>
  <w:num w:numId="24">
    <w:abstractNumId w:val="4"/>
  </w:num>
  <w:num w:numId="25">
    <w:abstractNumId w:val="28"/>
  </w:num>
  <w:num w:numId="26">
    <w:abstractNumId w:val="49"/>
  </w:num>
  <w:num w:numId="27">
    <w:abstractNumId w:val="62"/>
  </w:num>
  <w:num w:numId="28">
    <w:abstractNumId w:val="42"/>
  </w:num>
  <w:num w:numId="29">
    <w:abstractNumId w:val="17"/>
  </w:num>
  <w:num w:numId="30">
    <w:abstractNumId w:val="10"/>
  </w:num>
  <w:num w:numId="31">
    <w:abstractNumId w:val="38"/>
  </w:num>
  <w:num w:numId="32">
    <w:abstractNumId w:val="8"/>
  </w:num>
  <w:num w:numId="33">
    <w:abstractNumId w:val="35"/>
  </w:num>
  <w:num w:numId="34">
    <w:abstractNumId w:val="56"/>
  </w:num>
  <w:num w:numId="35">
    <w:abstractNumId w:val="34"/>
  </w:num>
  <w:num w:numId="36">
    <w:abstractNumId w:val="15"/>
  </w:num>
  <w:num w:numId="37">
    <w:abstractNumId w:val="58"/>
  </w:num>
  <w:num w:numId="38">
    <w:abstractNumId w:val="21"/>
  </w:num>
  <w:num w:numId="39">
    <w:abstractNumId w:val="41"/>
  </w:num>
  <w:num w:numId="40">
    <w:abstractNumId w:val="33"/>
  </w:num>
  <w:num w:numId="41">
    <w:abstractNumId w:val="39"/>
  </w:num>
  <w:num w:numId="42">
    <w:abstractNumId w:val="43"/>
  </w:num>
  <w:num w:numId="4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6"/>
  </w:num>
  <w:num w:numId="47">
    <w:abstractNumId w:val="37"/>
  </w:num>
  <w:num w:numId="48">
    <w:abstractNumId w:val="9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</w:num>
  <w:num w:numId="51">
    <w:abstractNumId w:val="59"/>
  </w:num>
  <w:num w:numId="52">
    <w:abstractNumId w:val="27"/>
  </w:num>
  <w:num w:numId="53">
    <w:abstractNumId w:val="47"/>
  </w:num>
  <w:num w:numId="54">
    <w:abstractNumId w:val="20"/>
  </w:num>
  <w:num w:numId="55">
    <w:abstractNumId w:val="22"/>
  </w:num>
  <w:num w:numId="56">
    <w:abstractNumId w:val="11"/>
  </w:num>
  <w:num w:numId="57">
    <w:abstractNumId w:val="7"/>
  </w:num>
  <w:num w:numId="58">
    <w:abstractNumId w:val="53"/>
  </w:num>
  <w:num w:numId="59">
    <w:abstractNumId w:val="0"/>
  </w:num>
  <w:num w:numId="60">
    <w:abstractNumId w:val="32"/>
  </w:num>
  <w:num w:numId="61">
    <w:abstractNumId w:val="48"/>
  </w:num>
  <w:num w:numId="62">
    <w:abstractNumId w:val="14"/>
  </w:num>
  <w:num w:numId="63">
    <w:abstractNumId w:val="16"/>
  </w:num>
  <w:num w:numId="64">
    <w:abstractNumId w:val="57"/>
  </w:num>
  <w:num w:numId="65">
    <w:abstractNumId w:val="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3856"/>
    <w:rsid w:val="00007B7C"/>
    <w:rsid w:val="0001244E"/>
    <w:rsid w:val="00013232"/>
    <w:rsid w:val="00013D0B"/>
    <w:rsid w:val="000239F7"/>
    <w:rsid w:val="00027157"/>
    <w:rsid w:val="000365C1"/>
    <w:rsid w:val="00040719"/>
    <w:rsid w:val="00044F5A"/>
    <w:rsid w:val="00057B9F"/>
    <w:rsid w:val="000609C2"/>
    <w:rsid w:val="000761E7"/>
    <w:rsid w:val="00081404"/>
    <w:rsid w:val="00084F3B"/>
    <w:rsid w:val="00092B1E"/>
    <w:rsid w:val="000A1D51"/>
    <w:rsid w:val="000A415E"/>
    <w:rsid w:val="000B27AC"/>
    <w:rsid w:val="000B51FE"/>
    <w:rsid w:val="000B5515"/>
    <w:rsid w:val="000B7726"/>
    <w:rsid w:val="000B7A8B"/>
    <w:rsid w:val="000C0F41"/>
    <w:rsid w:val="000C4530"/>
    <w:rsid w:val="000D6F45"/>
    <w:rsid w:val="000E2084"/>
    <w:rsid w:val="000E49A2"/>
    <w:rsid w:val="000F4D6A"/>
    <w:rsid w:val="000F5599"/>
    <w:rsid w:val="000F6B3D"/>
    <w:rsid w:val="000F6CC4"/>
    <w:rsid w:val="00104985"/>
    <w:rsid w:val="0010529A"/>
    <w:rsid w:val="00111121"/>
    <w:rsid w:val="001121F6"/>
    <w:rsid w:val="001143DF"/>
    <w:rsid w:val="001154B3"/>
    <w:rsid w:val="00115541"/>
    <w:rsid w:val="00115835"/>
    <w:rsid w:val="00115CBE"/>
    <w:rsid w:val="00120320"/>
    <w:rsid w:val="00120B16"/>
    <w:rsid w:val="00134C30"/>
    <w:rsid w:val="00135242"/>
    <w:rsid w:val="00135E75"/>
    <w:rsid w:val="00136FDB"/>
    <w:rsid w:val="00142B9B"/>
    <w:rsid w:val="00147100"/>
    <w:rsid w:val="00157F38"/>
    <w:rsid w:val="00162EEA"/>
    <w:rsid w:val="0017311C"/>
    <w:rsid w:val="0017321F"/>
    <w:rsid w:val="0017743B"/>
    <w:rsid w:val="00184D83"/>
    <w:rsid w:val="0019270E"/>
    <w:rsid w:val="001A19FA"/>
    <w:rsid w:val="001A63AE"/>
    <w:rsid w:val="001C3983"/>
    <w:rsid w:val="001C39AD"/>
    <w:rsid w:val="001C4045"/>
    <w:rsid w:val="001C4160"/>
    <w:rsid w:val="001C4F4A"/>
    <w:rsid w:val="001C576A"/>
    <w:rsid w:val="001D27D2"/>
    <w:rsid w:val="001D51B8"/>
    <w:rsid w:val="001D6773"/>
    <w:rsid w:val="001E0B81"/>
    <w:rsid w:val="001E0DB6"/>
    <w:rsid w:val="001E5BF2"/>
    <w:rsid w:val="001F5046"/>
    <w:rsid w:val="001F638D"/>
    <w:rsid w:val="001F7D2C"/>
    <w:rsid w:val="00201FCD"/>
    <w:rsid w:val="00207634"/>
    <w:rsid w:val="00211F83"/>
    <w:rsid w:val="00213D53"/>
    <w:rsid w:val="00221D09"/>
    <w:rsid w:val="0022556A"/>
    <w:rsid w:val="002311C6"/>
    <w:rsid w:val="0023137A"/>
    <w:rsid w:val="00234371"/>
    <w:rsid w:val="00235486"/>
    <w:rsid w:val="002405F1"/>
    <w:rsid w:val="00252AFE"/>
    <w:rsid w:val="00255021"/>
    <w:rsid w:val="00260DC5"/>
    <w:rsid w:val="0026123E"/>
    <w:rsid w:val="00270560"/>
    <w:rsid w:val="0027401E"/>
    <w:rsid w:val="00277960"/>
    <w:rsid w:val="00280244"/>
    <w:rsid w:val="00286C21"/>
    <w:rsid w:val="002878CF"/>
    <w:rsid w:val="0029074E"/>
    <w:rsid w:val="002942CF"/>
    <w:rsid w:val="002961A3"/>
    <w:rsid w:val="002A4C94"/>
    <w:rsid w:val="002A7CEC"/>
    <w:rsid w:val="002A7E7A"/>
    <w:rsid w:val="002C33A5"/>
    <w:rsid w:val="002C597B"/>
    <w:rsid w:val="002D0E13"/>
    <w:rsid w:val="002E0C96"/>
    <w:rsid w:val="002E1EC3"/>
    <w:rsid w:val="002E5FB4"/>
    <w:rsid w:val="002F634B"/>
    <w:rsid w:val="003028FF"/>
    <w:rsid w:val="003048FB"/>
    <w:rsid w:val="00306AFC"/>
    <w:rsid w:val="00311F36"/>
    <w:rsid w:val="003127B1"/>
    <w:rsid w:val="003179DD"/>
    <w:rsid w:val="0032090A"/>
    <w:rsid w:val="003211CF"/>
    <w:rsid w:val="003234D6"/>
    <w:rsid w:val="00325FCF"/>
    <w:rsid w:val="003270B5"/>
    <w:rsid w:val="003319DE"/>
    <w:rsid w:val="00332616"/>
    <w:rsid w:val="003338C8"/>
    <w:rsid w:val="00335CA2"/>
    <w:rsid w:val="00347C88"/>
    <w:rsid w:val="00351ABA"/>
    <w:rsid w:val="00351FBF"/>
    <w:rsid w:val="00364AD3"/>
    <w:rsid w:val="003652C0"/>
    <w:rsid w:val="00372664"/>
    <w:rsid w:val="00373AD3"/>
    <w:rsid w:val="0037400E"/>
    <w:rsid w:val="00374254"/>
    <w:rsid w:val="003759B7"/>
    <w:rsid w:val="00381944"/>
    <w:rsid w:val="00386B22"/>
    <w:rsid w:val="0038763D"/>
    <w:rsid w:val="00390F04"/>
    <w:rsid w:val="00393335"/>
    <w:rsid w:val="003946C2"/>
    <w:rsid w:val="00395C23"/>
    <w:rsid w:val="0039730D"/>
    <w:rsid w:val="003A25E3"/>
    <w:rsid w:val="003A2DF6"/>
    <w:rsid w:val="003B2CEF"/>
    <w:rsid w:val="003B3019"/>
    <w:rsid w:val="003B62BF"/>
    <w:rsid w:val="003B7768"/>
    <w:rsid w:val="003B7E42"/>
    <w:rsid w:val="003C2539"/>
    <w:rsid w:val="003C38C4"/>
    <w:rsid w:val="003D1FAC"/>
    <w:rsid w:val="003D3311"/>
    <w:rsid w:val="003D5A3E"/>
    <w:rsid w:val="003D6B7E"/>
    <w:rsid w:val="003D7755"/>
    <w:rsid w:val="003E1E57"/>
    <w:rsid w:val="003E454E"/>
    <w:rsid w:val="003E574E"/>
    <w:rsid w:val="003F3FEB"/>
    <w:rsid w:val="003F6485"/>
    <w:rsid w:val="003F704C"/>
    <w:rsid w:val="003F7C11"/>
    <w:rsid w:val="00406CA9"/>
    <w:rsid w:val="00411291"/>
    <w:rsid w:val="00411F19"/>
    <w:rsid w:val="00412EDD"/>
    <w:rsid w:val="0041504B"/>
    <w:rsid w:val="0041572B"/>
    <w:rsid w:val="0042739F"/>
    <w:rsid w:val="004275C3"/>
    <w:rsid w:val="00427B77"/>
    <w:rsid w:val="004341A9"/>
    <w:rsid w:val="00434EE4"/>
    <w:rsid w:val="004366CA"/>
    <w:rsid w:val="00443A8B"/>
    <w:rsid w:val="004459BA"/>
    <w:rsid w:val="00450D6F"/>
    <w:rsid w:val="004520A8"/>
    <w:rsid w:val="00454AC9"/>
    <w:rsid w:val="00456076"/>
    <w:rsid w:val="004606FF"/>
    <w:rsid w:val="00465272"/>
    <w:rsid w:val="00466BD3"/>
    <w:rsid w:val="00480A82"/>
    <w:rsid w:val="00491431"/>
    <w:rsid w:val="00494462"/>
    <w:rsid w:val="00496CE0"/>
    <w:rsid w:val="004A126B"/>
    <w:rsid w:val="004A2EAC"/>
    <w:rsid w:val="004B621E"/>
    <w:rsid w:val="004D2D3F"/>
    <w:rsid w:val="004D6818"/>
    <w:rsid w:val="004E6CE0"/>
    <w:rsid w:val="004F1296"/>
    <w:rsid w:val="004F1EB6"/>
    <w:rsid w:val="004F3BE4"/>
    <w:rsid w:val="004F3EB0"/>
    <w:rsid w:val="004F634C"/>
    <w:rsid w:val="0050081E"/>
    <w:rsid w:val="00500DF1"/>
    <w:rsid w:val="0050108C"/>
    <w:rsid w:val="00502287"/>
    <w:rsid w:val="005119CF"/>
    <w:rsid w:val="0052296D"/>
    <w:rsid w:val="00534189"/>
    <w:rsid w:val="00534A34"/>
    <w:rsid w:val="00534D42"/>
    <w:rsid w:val="00536E8A"/>
    <w:rsid w:val="005435F4"/>
    <w:rsid w:val="00545FAA"/>
    <w:rsid w:val="00551FFF"/>
    <w:rsid w:val="00561D1E"/>
    <w:rsid w:val="0056370D"/>
    <w:rsid w:val="00565E75"/>
    <w:rsid w:val="00566A82"/>
    <w:rsid w:val="00571FE7"/>
    <w:rsid w:val="0057689C"/>
    <w:rsid w:val="005770CE"/>
    <w:rsid w:val="00581467"/>
    <w:rsid w:val="00585CD4"/>
    <w:rsid w:val="00592E06"/>
    <w:rsid w:val="00595E87"/>
    <w:rsid w:val="005A14C7"/>
    <w:rsid w:val="005A1EC3"/>
    <w:rsid w:val="005A53DB"/>
    <w:rsid w:val="005A7BDE"/>
    <w:rsid w:val="005B0F7C"/>
    <w:rsid w:val="005B495D"/>
    <w:rsid w:val="005B6DBB"/>
    <w:rsid w:val="005C7C36"/>
    <w:rsid w:val="005D485D"/>
    <w:rsid w:val="005D7A20"/>
    <w:rsid w:val="005E7B2B"/>
    <w:rsid w:val="005F0241"/>
    <w:rsid w:val="005F0501"/>
    <w:rsid w:val="005F1C39"/>
    <w:rsid w:val="005F3999"/>
    <w:rsid w:val="00604CB9"/>
    <w:rsid w:val="00610AF7"/>
    <w:rsid w:val="0061206F"/>
    <w:rsid w:val="006159FE"/>
    <w:rsid w:val="0061680A"/>
    <w:rsid w:val="006207AD"/>
    <w:rsid w:val="00621432"/>
    <w:rsid w:val="00624C37"/>
    <w:rsid w:val="00627A11"/>
    <w:rsid w:val="00633E96"/>
    <w:rsid w:val="006429DF"/>
    <w:rsid w:val="00660E00"/>
    <w:rsid w:val="00662102"/>
    <w:rsid w:val="00664606"/>
    <w:rsid w:val="00676279"/>
    <w:rsid w:val="006848C5"/>
    <w:rsid w:val="00697285"/>
    <w:rsid w:val="006B0648"/>
    <w:rsid w:val="006C7443"/>
    <w:rsid w:val="006D521A"/>
    <w:rsid w:val="006E086B"/>
    <w:rsid w:val="006E1EA4"/>
    <w:rsid w:val="006E352E"/>
    <w:rsid w:val="006E57B0"/>
    <w:rsid w:val="006E7770"/>
    <w:rsid w:val="006F2EE6"/>
    <w:rsid w:val="006F3DAD"/>
    <w:rsid w:val="006F5B07"/>
    <w:rsid w:val="006F7B1A"/>
    <w:rsid w:val="007017B9"/>
    <w:rsid w:val="00702061"/>
    <w:rsid w:val="0070381F"/>
    <w:rsid w:val="0070413D"/>
    <w:rsid w:val="00707540"/>
    <w:rsid w:val="00712542"/>
    <w:rsid w:val="00720456"/>
    <w:rsid w:val="00720A47"/>
    <w:rsid w:val="0072492D"/>
    <w:rsid w:val="0072507D"/>
    <w:rsid w:val="00734657"/>
    <w:rsid w:val="00734B7A"/>
    <w:rsid w:val="007455AF"/>
    <w:rsid w:val="00746832"/>
    <w:rsid w:val="007470E9"/>
    <w:rsid w:val="0074783D"/>
    <w:rsid w:val="00756B7D"/>
    <w:rsid w:val="00761777"/>
    <w:rsid w:val="00766F9F"/>
    <w:rsid w:val="00770373"/>
    <w:rsid w:val="00772B9E"/>
    <w:rsid w:val="00777934"/>
    <w:rsid w:val="007905E2"/>
    <w:rsid w:val="00792916"/>
    <w:rsid w:val="00795EEC"/>
    <w:rsid w:val="007A4E94"/>
    <w:rsid w:val="007B0055"/>
    <w:rsid w:val="007B46FA"/>
    <w:rsid w:val="007B536B"/>
    <w:rsid w:val="007C1051"/>
    <w:rsid w:val="007C15A6"/>
    <w:rsid w:val="007C1D3C"/>
    <w:rsid w:val="007D337E"/>
    <w:rsid w:val="007D7C2A"/>
    <w:rsid w:val="007E0F24"/>
    <w:rsid w:val="007E4FDE"/>
    <w:rsid w:val="007F1742"/>
    <w:rsid w:val="007F34A1"/>
    <w:rsid w:val="007F34A3"/>
    <w:rsid w:val="007F5CF0"/>
    <w:rsid w:val="007F6AA3"/>
    <w:rsid w:val="00803435"/>
    <w:rsid w:val="00804B99"/>
    <w:rsid w:val="008056EE"/>
    <w:rsid w:val="00805FD7"/>
    <w:rsid w:val="00812B52"/>
    <w:rsid w:val="00815ACF"/>
    <w:rsid w:val="00817780"/>
    <w:rsid w:val="00820267"/>
    <w:rsid w:val="00820BBD"/>
    <w:rsid w:val="00822BAA"/>
    <w:rsid w:val="0082588B"/>
    <w:rsid w:val="008270A6"/>
    <w:rsid w:val="00840CEE"/>
    <w:rsid w:val="0084446E"/>
    <w:rsid w:val="00852E56"/>
    <w:rsid w:val="008545B3"/>
    <w:rsid w:val="00855938"/>
    <w:rsid w:val="0086379E"/>
    <w:rsid w:val="00864098"/>
    <w:rsid w:val="008741CD"/>
    <w:rsid w:val="00874B1E"/>
    <w:rsid w:val="0087578D"/>
    <w:rsid w:val="0088586F"/>
    <w:rsid w:val="0088642B"/>
    <w:rsid w:val="008875C8"/>
    <w:rsid w:val="00887E86"/>
    <w:rsid w:val="00890A51"/>
    <w:rsid w:val="00891389"/>
    <w:rsid w:val="00893F2D"/>
    <w:rsid w:val="00895E08"/>
    <w:rsid w:val="008A093A"/>
    <w:rsid w:val="008A6A2A"/>
    <w:rsid w:val="008B2BC0"/>
    <w:rsid w:val="008B45E8"/>
    <w:rsid w:val="008B6B92"/>
    <w:rsid w:val="008C453E"/>
    <w:rsid w:val="008C520A"/>
    <w:rsid w:val="008C5EC8"/>
    <w:rsid w:val="008C72DB"/>
    <w:rsid w:val="008C7F5F"/>
    <w:rsid w:val="008D2F5D"/>
    <w:rsid w:val="008D38E8"/>
    <w:rsid w:val="008D7280"/>
    <w:rsid w:val="008E07CB"/>
    <w:rsid w:val="008E26F8"/>
    <w:rsid w:val="008E4F31"/>
    <w:rsid w:val="008E536B"/>
    <w:rsid w:val="008E6089"/>
    <w:rsid w:val="008E6100"/>
    <w:rsid w:val="008F0155"/>
    <w:rsid w:val="008F0F1A"/>
    <w:rsid w:val="008F1820"/>
    <w:rsid w:val="008F32B6"/>
    <w:rsid w:val="008F3502"/>
    <w:rsid w:val="008F3A70"/>
    <w:rsid w:val="008F579F"/>
    <w:rsid w:val="00901335"/>
    <w:rsid w:val="00903372"/>
    <w:rsid w:val="00905CD6"/>
    <w:rsid w:val="00906938"/>
    <w:rsid w:val="009077FD"/>
    <w:rsid w:val="009110DB"/>
    <w:rsid w:val="00922C12"/>
    <w:rsid w:val="00924BA8"/>
    <w:rsid w:val="0092542F"/>
    <w:rsid w:val="00931E8A"/>
    <w:rsid w:val="009340F3"/>
    <w:rsid w:val="00936AD7"/>
    <w:rsid w:val="00942043"/>
    <w:rsid w:val="009461C5"/>
    <w:rsid w:val="00947727"/>
    <w:rsid w:val="0095368B"/>
    <w:rsid w:val="009617E5"/>
    <w:rsid w:val="0096218A"/>
    <w:rsid w:val="00962649"/>
    <w:rsid w:val="009627B1"/>
    <w:rsid w:val="009641F4"/>
    <w:rsid w:val="00966D95"/>
    <w:rsid w:val="00971C41"/>
    <w:rsid w:val="009747B7"/>
    <w:rsid w:val="00974BAF"/>
    <w:rsid w:val="009775CD"/>
    <w:rsid w:val="00977AA5"/>
    <w:rsid w:val="009811B1"/>
    <w:rsid w:val="00984979"/>
    <w:rsid w:val="0098556F"/>
    <w:rsid w:val="0099201D"/>
    <w:rsid w:val="0099209D"/>
    <w:rsid w:val="00994546"/>
    <w:rsid w:val="00994E2E"/>
    <w:rsid w:val="00997DF5"/>
    <w:rsid w:val="009A1354"/>
    <w:rsid w:val="009A3292"/>
    <w:rsid w:val="009B5D0B"/>
    <w:rsid w:val="009C1D27"/>
    <w:rsid w:val="009C1DC1"/>
    <w:rsid w:val="009C35BF"/>
    <w:rsid w:val="009C7262"/>
    <w:rsid w:val="009D400F"/>
    <w:rsid w:val="009D551D"/>
    <w:rsid w:val="009E0950"/>
    <w:rsid w:val="009E2FDD"/>
    <w:rsid w:val="009E4FF7"/>
    <w:rsid w:val="009E5757"/>
    <w:rsid w:val="009E788A"/>
    <w:rsid w:val="009F1032"/>
    <w:rsid w:val="009F1109"/>
    <w:rsid w:val="00A02E4B"/>
    <w:rsid w:val="00A05030"/>
    <w:rsid w:val="00A1034C"/>
    <w:rsid w:val="00A14056"/>
    <w:rsid w:val="00A16E63"/>
    <w:rsid w:val="00A17DFC"/>
    <w:rsid w:val="00A20900"/>
    <w:rsid w:val="00A24472"/>
    <w:rsid w:val="00A30FF4"/>
    <w:rsid w:val="00A31F0A"/>
    <w:rsid w:val="00A4514D"/>
    <w:rsid w:val="00A476F0"/>
    <w:rsid w:val="00A51779"/>
    <w:rsid w:val="00A6042E"/>
    <w:rsid w:val="00A6180D"/>
    <w:rsid w:val="00A66991"/>
    <w:rsid w:val="00A70A5C"/>
    <w:rsid w:val="00A749A8"/>
    <w:rsid w:val="00A77B6D"/>
    <w:rsid w:val="00A864B2"/>
    <w:rsid w:val="00A92864"/>
    <w:rsid w:val="00AA1037"/>
    <w:rsid w:val="00AA38B8"/>
    <w:rsid w:val="00AB6931"/>
    <w:rsid w:val="00AB796B"/>
    <w:rsid w:val="00AC46E0"/>
    <w:rsid w:val="00AC6B12"/>
    <w:rsid w:val="00AD03B2"/>
    <w:rsid w:val="00AD2821"/>
    <w:rsid w:val="00AD30E0"/>
    <w:rsid w:val="00AD349C"/>
    <w:rsid w:val="00AD7382"/>
    <w:rsid w:val="00AE24E8"/>
    <w:rsid w:val="00AE40C2"/>
    <w:rsid w:val="00AE55FF"/>
    <w:rsid w:val="00AE705E"/>
    <w:rsid w:val="00AE76E6"/>
    <w:rsid w:val="00AF66B1"/>
    <w:rsid w:val="00AF6A9B"/>
    <w:rsid w:val="00B02DAB"/>
    <w:rsid w:val="00B0514B"/>
    <w:rsid w:val="00B053E9"/>
    <w:rsid w:val="00B102E2"/>
    <w:rsid w:val="00B10358"/>
    <w:rsid w:val="00B131ED"/>
    <w:rsid w:val="00B13FA0"/>
    <w:rsid w:val="00B15A86"/>
    <w:rsid w:val="00B20C89"/>
    <w:rsid w:val="00B25234"/>
    <w:rsid w:val="00B33037"/>
    <w:rsid w:val="00B37677"/>
    <w:rsid w:val="00B415F8"/>
    <w:rsid w:val="00B42197"/>
    <w:rsid w:val="00B43133"/>
    <w:rsid w:val="00B43FEA"/>
    <w:rsid w:val="00B44144"/>
    <w:rsid w:val="00B443EC"/>
    <w:rsid w:val="00B52DE1"/>
    <w:rsid w:val="00B55743"/>
    <w:rsid w:val="00B56CF8"/>
    <w:rsid w:val="00B7030C"/>
    <w:rsid w:val="00B705A0"/>
    <w:rsid w:val="00B70700"/>
    <w:rsid w:val="00B71375"/>
    <w:rsid w:val="00B8240A"/>
    <w:rsid w:val="00B91752"/>
    <w:rsid w:val="00B92405"/>
    <w:rsid w:val="00B92BF6"/>
    <w:rsid w:val="00B933A0"/>
    <w:rsid w:val="00B93B8B"/>
    <w:rsid w:val="00BA1A90"/>
    <w:rsid w:val="00BA20BF"/>
    <w:rsid w:val="00BA4992"/>
    <w:rsid w:val="00BA5701"/>
    <w:rsid w:val="00BA776B"/>
    <w:rsid w:val="00BB16BA"/>
    <w:rsid w:val="00BB171D"/>
    <w:rsid w:val="00BB4815"/>
    <w:rsid w:val="00BB6615"/>
    <w:rsid w:val="00BB767C"/>
    <w:rsid w:val="00BC1F14"/>
    <w:rsid w:val="00BC4D4F"/>
    <w:rsid w:val="00BC6DFC"/>
    <w:rsid w:val="00BD7D87"/>
    <w:rsid w:val="00BE02D7"/>
    <w:rsid w:val="00BF357D"/>
    <w:rsid w:val="00BF397D"/>
    <w:rsid w:val="00BF542C"/>
    <w:rsid w:val="00C000C2"/>
    <w:rsid w:val="00C05223"/>
    <w:rsid w:val="00C06B63"/>
    <w:rsid w:val="00C07C8E"/>
    <w:rsid w:val="00C2202E"/>
    <w:rsid w:val="00C22D6F"/>
    <w:rsid w:val="00C32E5A"/>
    <w:rsid w:val="00C33037"/>
    <w:rsid w:val="00C346BC"/>
    <w:rsid w:val="00C35702"/>
    <w:rsid w:val="00C37392"/>
    <w:rsid w:val="00C47363"/>
    <w:rsid w:val="00C47BC8"/>
    <w:rsid w:val="00C52B9A"/>
    <w:rsid w:val="00C55024"/>
    <w:rsid w:val="00C60559"/>
    <w:rsid w:val="00C60D51"/>
    <w:rsid w:val="00C61C90"/>
    <w:rsid w:val="00C62C2C"/>
    <w:rsid w:val="00C666BE"/>
    <w:rsid w:val="00C6719B"/>
    <w:rsid w:val="00C67DF0"/>
    <w:rsid w:val="00C718E5"/>
    <w:rsid w:val="00C72CB2"/>
    <w:rsid w:val="00C75823"/>
    <w:rsid w:val="00C81A08"/>
    <w:rsid w:val="00C82E06"/>
    <w:rsid w:val="00C846AF"/>
    <w:rsid w:val="00C92EC0"/>
    <w:rsid w:val="00C97D22"/>
    <w:rsid w:val="00CA1F7C"/>
    <w:rsid w:val="00CA5EC8"/>
    <w:rsid w:val="00CB1BA8"/>
    <w:rsid w:val="00CB49D1"/>
    <w:rsid w:val="00CC169C"/>
    <w:rsid w:val="00CC5875"/>
    <w:rsid w:val="00CD4BB1"/>
    <w:rsid w:val="00CE47AA"/>
    <w:rsid w:val="00CE58D7"/>
    <w:rsid w:val="00CF30B5"/>
    <w:rsid w:val="00D1009D"/>
    <w:rsid w:val="00D11278"/>
    <w:rsid w:val="00D1282B"/>
    <w:rsid w:val="00D1302B"/>
    <w:rsid w:val="00D15296"/>
    <w:rsid w:val="00D2678C"/>
    <w:rsid w:val="00D300B4"/>
    <w:rsid w:val="00D32B9A"/>
    <w:rsid w:val="00D33CE5"/>
    <w:rsid w:val="00D34A60"/>
    <w:rsid w:val="00D36E0C"/>
    <w:rsid w:val="00D413AD"/>
    <w:rsid w:val="00D41BFB"/>
    <w:rsid w:val="00D42053"/>
    <w:rsid w:val="00D435DC"/>
    <w:rsid w:val="00D45D1C"/>
    <w:rsid w:val="00D468D2"/>
    <w:rsid w:val="00D46909"/>
    <w:rsid w:val="00D5047E"/>
    <w:rsid w:val="00D512CB"/>
    <w:rsid w:val="00D514DB"/>
    <w:rsid w:val="00D54924"/>
    <w:rsid w:val="00D5537F"/>
    <w:rsid w:val="00D5723D"/>
    <w:rsid w:val="00D5767E"/>
    <w:rsid w:val="00D60E6E"/>
    <w:rsid w:val="00D63A6A"/>
    <w:rsid w:val="00D63F89"/>
    <w:rsid w:val="00D74A31"/>
    <w:rsid w:val="00D8650D"/>
    <w:rsid w:val="00D86B1B"/>
    <w:rsid w:val="00D91E28"/>
    <w:rsid w:val="00D9492B"/>
    <w:rsid w:val="00DA3A26"/>
    <w:rsid w:val="00DA3AE0"/>
    <w:rsid w:val="00DB1959"/>
    <w:rsid w:val="00DC1412"/>
    <w:rsid w:val="00DC6B4C"/>
    <w:rsid w:val="00DD19B6"/>
    <w:rsid w:val="00DD2C86"/>
    <w:rsid w:val="00DD2C90"/>
    <w:rsid w:val="00DD5E72"/>
    <w:rsid w:val="00DD729A"/>
    <w:rsid w:val="00DD7AE4"/>
    <w:rsid w:val="00DF09FF"/>
    <w:rsid w:val="00DF2DE6"/>
    <w:rsid w:val="00DF4501"/>
    <w:rsid w:val="00DF4DC9"/>
    <w:rsid w:val="00DF5FEB"/>
    <w:rsid w:val="00DF6A1C"/>
    <w:rsid w:val="00DF762B"/>
    <w:rsid w:val="00E01317"/>
    <w:rsid w:val="00E073F2"/>
    <w:rsid w:val="00E100F0"/>
    <w:rsid w:val="00E10638"/>
    <w:rsid w:val="00E144E1"/>
    <w:rsid w:val="00E14EC8"/>
    <w:rsid w:val="00E175F8"/>
    <w:rsid w:val="00E206A4"/>
    <w:rsid w:val="00E24CE1"/>
    <w:rsid w:val="00E264C5"/>
    <w:rsid w:val="00E27E2E"/>
    <w:rsid w:val="00E37555"/>
    <w:rsid w:val="00E40171"/>
    <w:rsid w:val="00E40B44"/>
    <w:rsid w:val="00E4402E"/>
    <w:rsid w:val="00E463E1"/>
    <w:rsid w:val="00E468AE"/>
    <w:rsid w:val="00E50989"/>
    <w:rsid w:val="00E516E7"/>
    <w:rsid w:val="00E560D9"/>
    <w:rsid w:val="00E633FB"/>
    <w:rsid w:val="00E67131"/>
    <w:rsid w:val="00E7543E"/>
    <w:rsid w:val="00E76362"/>
    <w:rsid w:val="00E83834"/>
    <w:rsid w:val="00E90D5E"/>
    <w:rsid w:val="00EB01A8"/>
    <w:rsid w:val="00EB2105"/>
    <w:rsid w:val="00EB3431"/>
    <w:rsid w:val="00EB7D3B"/>
    <w:rsid w:val="00EC0362"/>
    <w:rsid w:val="00EC0645"/>
    <w:rsid w:val="00EC24CA"/>
    <w:rsid w:val="00EC2B4F"/>
    <w:rsid w:val="00EC4741"/>
    <w:rsid w:val="00EC782C"/>
    <w:rsid w:val="00ED12D1"/>
    <w:rsid w:val="00ED187A"/>
    <w:rsid w:val="00ED2050"/>
    <w:rsid w:val="00ED50F4"/>
    <w:rsid w:val="00ED6864"/>
    <w:rsid w:val="00ED6DA6"/>
    <w:rsid w:val="00EE208D"/>
    <w:rsid w:val="00EE424A"/>
    <w:rsid w:val="00EE7DBE"/>
    <w:rsid w:val="00EF7953"/>
    <w:rsid w:val="00F004A2"/>
    <w:rsid w:val="00F0195C"/>
    <w:rsid w:val="00F04A84"/>
    <w:rsid w:val="00F04DDF"/>
    <w:rsid w:val="00F11417"/>
    <w:rsid w:val="00F2440C"/>
    <w:rsid w:val="00F24577"/>
    <w:rsid w:val="00F30FBF"/>
    <w:rsid w:val="00F3101E"/>
    <w:rsid w:val="00F37FA6"/>
    <w:rsid w:val="00F50A27"/>
    <w:rsid w:val="00F55EDF"/>
    <w:rsid w:val="00F564B5"/>
    <w:rsid w:val="00F56FAB"/>
    <w:rsid w:val="00F60B50"/>
    <w:rsid w:val="00F6434E"/>
    <w:rsid w:val="00F6511A"/>
    <w:rsid w:val="00F7008A"/>
    <w:rsid w:val="00F7417D"/>
    <w:rsid w:val="00F820DB"/>
    <w:rsid w:val="00F835EB"/>
    <w:rsid w:val="00F8381B"/>
    <w:rsid w:val="00F84F2C"/>
    <w:rsid w:val="00F86AEE"/>
    <w:rsid w:val="00F92958"/>
    <w:rsid w:val="00F95273"/>
    <w:rsid w:val="00F96826"/>
    <w:rsid w:val="00F97614"/>
    <w:rsid w:val="00FA2820"/>
    <w:rsid w:val="00FB6D4B"/>
    <w:rsid w:val="00FC0299"/>
    <w:rsid w:val="00FC396D"/>
    <w:rsid w:val="00FC70AB"/>
    <w:rsid w:val="00FD4C10"/>
    <w:rsid w:val="00FD4D16"/>
    <w:rsid w:val="00FE0C5E"/>
    <w:rsid w:val="00FE0E4E"/>
    <w:rsid w:val="00FE6430"/>
    <w:rsid w:val="00FF3479"/>
    <w:rsid w:val="00FF7049"/>
    <w:rsid w:val="761AE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E1714921-537A-414B-9D49-5795E3F1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spacing w:after="80"/>
      <w:outlineLvl w:val="0"/>
    </w:pPr>
    <w:rPr>
      <w:rFonts w:ascii="Segoe UI" w:eastAsiaTheme="majorEastAsia" w:hAnsi="Segoe UI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ascii="Segoe UI" w:eastAsiaTheme="majorEastAsia" w:hAnsi="Segoe UI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Segoe UI" w:eastAsia="Times New Roman" w:hAnsi="Segoe UI" w:cs="Times New Roman"/>
      <w:b/>
      <w:bCs/>
      <w:color w:val="043E71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Bahnschrift SemiLight" w:hAnsi="Bahnschrift Semi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">
    <w:name w:val="Nagłówek #4_"/>
    <w:link w:val="Nagwek40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2323-E3E0-4AD6-8B6F-991C570D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5883</Words>
  <Characters>35301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37</cp:revision>
  <cp:lastPrinted>2017-07-26T14:51:00Z</cp:lastPrinted>
  <dcterms:created xsi:type="dcterms:W3CDTF">2021-09-20T09:43:00Z</dcterms:created>
  <dcterms:modified xsi:type="dcterms:W3CDTF">2024-10-31T10:09:00Z</dcterms:modified>
</cp:coreProperties>
</file>