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732CC4C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32692" w:rsidRPr="00832692">
        <w:rPr>
          <w:rFonts w:cs="Arial"/>
          <w:b/>
          <w:bCs/>
          <w:szCs w:val="24"/>
        </w:rPr>
        <w:t>4/II/2025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48D21F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32692" w:rsidRPr="00832692">
        <w:rPr>
          <w:rFonts w:cs="Arial"/>
          <w:b/>
          <w:bCs/>
          <w:szCs w:val="24"/>
        </w:rPr>
        <w:t xml:space="preserve">Obsługa parkingu dla pojazdów odholowanych z drogi w trybie art. 50a i 130a Ustawy prawo o ruchu drogowym,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68FAEA8B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5FC4"/>
    <w:rsid w:val="003C6DCB"/>
    <w:rsid w:val="00410296"/>
    <w:rsid w:val="004318E3"/>
    <w:rsid w:val="004B534E"/>
    <w:rsid w:val="004D5961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30</cp:revision>
  <cp:lastPrinted>2023-02-14T08:55:00Z</cp:lastPrinted>
  <dcterms:created xsi:type="dcterms:W3CDTF">2023-02-17T12:25:00Z</dcterms:created>
  <dcterms:modified xsi:type="dcterms:W3CDTF">2025-02-18T08:02:00Z</dcterms:modified>
</cp:coreProperties>
</file>